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48" w:rsidRPr="00097B53" w:rsidRDefault="00FE4C48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BA1310" w:rsidRPr="00BA1310" w:rsidRDefault="00BA1310" w:rsidP="00BA1310">
      <w:pPr>
        <w:spacing w:after="120"/>
        <w:ind w:left="1276"/>
        <w:jc w:val="both"/>
        <w:rPr>
          <w:b/>
        </w:rPr>
      </w:pPr>
      <w:r w:rsidRPr="00BA1310">
        <w:rPr>
          <w:b/>
        </w:rPr>
        <w:t>Le CER - Comunità Energetiche Rinnovabili</w:t>
      </w: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  <w:r>
        <w:t>La CER è un insieme di soggetti diversi (persone fisiche, piccole e medie imprese, enti territoriali o autorità locali, amministrazioni comunali, enti di ricerca e formazione, enti religiosi, del terzo settore e di protezione ambientale) che si uniscono volontariamente per produrre e/o condividere l’energia elettrica generata localmente da impianti alimentati da fonti rinnovabili (di qualunque tipo quindi non solo fotovoltaico ma anche idroelettrico, eolico, a biogas, a biomassa etc.). Per aderire ad una CER i soggetti devono essere localizzati all’interno di un medesimo perimetro geografico che è definito dall’appartenenz</w:t>
      </w:r>
      <w:r>
        <w:t>a alla stessa cabina primaria .</w:t>
      </w:r>
    </w:p>
    <w:p w:rsidR="00BA1310" w:rsidRDefault="00BA1310" w:rsidP="00BA1310">
      <w:pPr>
        <w:spacing w:after="120"/>
        <w:ind w:left="1276"/>
        <w:jc w:val="both"/>
      </w:pPr>
      <w:r>
        <w:t>Non possono partecipare alla CER le aziende classificate come grandi imprese o le imprese per cui la vendita di energia rapp</w:t>
      </w:r>
      <w:r>
        <w:t xml:space="preserve">resenta l’attività principale. </w:t>
      </w:r>
    </w:p>
    <w:p w:rsidR="00BA1310" w:rsidRDefault="00BA1310" w:rsidP="00BA1310">
      <w:pPr>
        <w:spacing w:after="120"/>
        <w:ind w:left="1276"/>
        <w:jc w:val="both"/>
      </w:pPr>
      <w:r>
        <w:t>La CER deve essere costituita legalmente. Le norme di riferimento non impongono una determinata forma giuridica ma è necessario che la Comunità si costituisca come soggetto giuridico, senza fini di lucro (ad esempio associazione, ente del terzo settore, cooperativa, cooperativa benefit, consorzio, organi</w:t>
      </w:r>
      <w:r>
        <w:t>zzazione senza scopo di lucro).</w:t>
      </w:r>
    </w:p>
    <w:p w:rsidR="00BA1310" w:rsidRDefault="00BA1310" w:rsidP="00BA1310">
      <w:pPr>
        <w:spacing w:after="120"/>
        <w:ind w:left="1276"/>
        <w:jc w:val="both"/>
      </w:pPr>
      <w:r>
        <w:t xml:space="preserve">Ciascun soggetto (privato o pubblico) può </w:t>
      </w:r>
      <w:r>
        <w:t xml:space="preserve">aderire alla CER in qualità di </w:t>
      </w:r>
    </w:p>
    <w:p w:rsidR="00BA1310" w:rsidRDefault="00BA1310" w:rsidP="00BA1310">
      <w:pPr>
        <w:spacing w:after="120"/>
        <w:ind w:left="1276"/>
        <w:jc w:val="both"/>
      </w:pPr>
      <w:r>
        <w:t>-</w:t>
      </w:r>
      <w:r>
        <w:tab/>
        <w:t>produttore di energia rinnovabile;</w:t>
      </w:r>
    </w:p>
    <w:p w:rsidR="00BA1310" w:rsidRDefault="00BA1310" w:rsidP="00BA1310">
      <w:pPr>
        <w:spacing w:after="120"/>
        <w:ind w:left="2266" w:hanging="990"/>
        <w:jc w:val="both"/>
      </w:pPr>
      <w:r>
        <w:t>-</w:t>
      </w:r>
      <w:r>
        <w:tab/>
        <w:t>autoconsumatore di energia rinnovabile (prosumer): soggetto che produce energia per soddisfare i propri consumi e per condividere quella in eccesso con il resto della comunità;</w:t>
      </w:r>
    </w:p>
    <w:p w:rsidR="00BA1310" w:rsidRDefault="00BA1310" w:rsidP="00BA1310">
      <w:pPr>
        <w:spacing w:after="120"/>
        <w:ind w:left="2266" w:hanging="990"/>
        <w:jc w:val="both"/>
      </w:pPr>
      <w:r>
        <w:t>-</w:t>
      </w:r>
      <w:r>
        <w:tab/>
        <w:t>consumatore finale (consumer): soggetto che fa parte della Comunità solo in qualità di consumatore.</w:t>
      </w: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  <w:r>
        <w:t xml:space="preserve">Il funzionamento della CER è semplice: i prosumer consumano l’energia direttamente dall’impianto di produzione e immettono in rete quella in esubero. I consumer non sono collegati direttamente all’impianto di produzione e continuano a prelevare l’energia dalla rete di distribuzione. </w:t>
      </w:r>
    </w:p>
    <w:p w:rsidR="00BA1310" w:rsidRDefault="00BA1310" w:rsidP="00BA1310">
      <w:pPr>
        <w:spacing w:after="120"/>
        <w:ind w:left="1276"/>
        <w:jc w:val="both"/>
      </w:pPr>
      <w:r>
        <w:t xml:space="preserve">Il GSE (Gestore dei Servizi Energetici) verificherà la quantità di energia prelevata dalla rete da ciascun membro e quella prodotta dalla CER: il </w:t>
      </w:r>
      <w:r>
        <w:lastRenderedPageBreak/>
        <w:t xml:space="preserve">minor valore tra queste due somme determina l’energia condivisa dalla CER. </w:t>
      </w:r>
    </w:p>
    <w:p w:rsidR="00BA1310" w:rsidRDefault="00BA1310" w:rsidP="00BA1310">
      <w:pPr>
        <w:spacing w:after="120"/>
        <w:ind w:left="1276"/>
        <w:jc w:val="both"/>
      </w:pPr>
      <w:r>
        <w:t>Su tale energia autoconsumata, virtualmente condivisa in ciascuna ora, tra i produttori e i consumatori membri della CER viene calcolato il contributo ARERA (Autorità di Regolazione per Energia Reti e Ambiente) e la tariffa incentivante (riconosciuta dal G</w:t>
      </w:r>
      <w:r>
        <w:t xml:space="preserve">SE per un periodo di 20 anni). </w:t>
      </w:r>
    </w:p>
    <w:p w:rsidR="00BA1310" w:rsidRDefault="00BA1310" w:rsidP="00BA1310">
      <w:pPr>
        <w:spacing w:after="120"/>
        <w:ind w:left="1276"/>
        <w:jc w:val="both"/>
      </w:pPr>
      <w:r>
        <w:t>La configurazione migliore della CER è dunque quella che massimizza il valore generato per la comunità energetica. Ovvero, ragionando su base oraria, quella che permette che la quantità di energia prodotta e distribuita (anche da stoccaggio) all’interno della comunità, sia pari (o ragionevolmente superiore) ai consumi collettivi dei</w:t>
      </w:r>
      <w:r>
        <w:t xml:space="preserve"> soggetti che la costituiscono.</w:t>
      </w:r>
    </w:p>
    <w:p w:rsidR="00BA1310" w:rsidRDefault="00BA1310" w:rsidP="00BA1310">
      <w:pPr>
        <w:spacing w:after="120"/>
        <w:ind w:left="1276"/>
        <w:jc w:val="both"/>
      </w:pPr>
      <w:r>
        <w:t>Per le CER i cui impianti di produzione sono ubicati in Comuni con una popolazione inferiore a 5.000 abitanti, è previsto inoltre un contributo in conto capitale, a valere sulle risorse del PNRR pari al 4</w:t>
      </w:r>
      <w:r>
        <w:t>0% del costo dell’investimento.</w:t>
      </w:r>
    </w:p>
    <w:p w:rsidR="00BA1310" w:rsidRDefault="00BA1310" w:rsidP="00BA1310">
      <w:pPr>
        <w:spacing w:after="120"/>
        <w:ind w:left="1276"/>
        <w:jc w:val="both"/>
      </w:pPr>
      <w:r>
        <w:t>Le modalità di assegnazione deg</w:t>
      </w:r>
      <w:r w:rsidR="00437B6B">
        <w:t xml:space="preserve">li utili </w:t>
      </w:r>
      <w:r>
        <w:t>ai soci è stabilita dalla CER nel rispetto degli scopi statutari stabiliti dalla norma e può essere previsto un reinvestimento in iniziative di utilità sociale a favore del</w:t>
      </w:r>
      <w:r>
        <w:t xml:space="preserve"> territorio ove insiste la CER.</w:t>
      </w: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</w:p>
    <w:p w:rsidR="00437B6B" w:rsidRDefault="00437B6B" w:rsidP="00BA1310">
      <w:pPr>
        <w:spacing w:after="120"/>
        <w:ind w:left="1276"/>
        <w:jc w:val="both"/>
      </w:pPr>
    </w:p>
    <w:p w:rsidR="00BA1310" w:rsidRPr="00BA1310" w:rsidRDefault="00BA1310" w:rsidP="00BA1310">
      <w:pPr>
        <w:spacing w:after="120"/>
        <w:ind w:left="1276"/>
        <w:jc w:val="both"/>
        <w:rPr>
          <w:b/>
        </w:rPr>
      </w:pPr>
      <w:r>
        <w:rPr>
          <w:b/>
        </w:rPr>
        <w:lastRenderedPageBreak/>
        <w:t>Le CER: un cambio di paradigma</w:t>
      </w:r>
    </w:p>
    <w:p w:rsidR="00BA1310" w:rsidRDefault="00BA1310" w:rsidP="00BA1310">
      <w:pPr>
        <w:spacing w:after="120"/>
        <w:ind w:left="1276"/>
        <w:jc w:val="both"/>
      </w:pPr>
      <w:r>
        <w:t xml:space="preserve">Produrre localmente energia da fonti rinnovabili e condividerla con gli associati allo scopo di fornire benefici ambientali, economici o sociali ai soci e al territorio: questo è l’obiettivo delle Comunità Energetiche Rinnovabili. </w:t>
      </w: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  <w:r>
        <w:rPr>
          <w:rFonts w:cstheme="minorHAnsi"/>
          <w:noProof/>
          <w:color w:val="0A0A0A"/>
          <w:sz w:val="21"/>
          <w:szCs w:val="21"/>
        </w:rPr>
        <w:drawing>
          <wp:inline distT="0" distB="0" distL="0" distR="0" wp14:anchorId="6848D339" wp14:editId="4CDC3235">
            <wp:extent cx="5112103" cy="299629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723" cy="301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  <w:r>
        <w:t>Le comunità energetiche rinnovabili rappresentano un cambio di paradigma significativo nel modo in cui l’energia viene prodotta, distribuita e consumata ma anche negli obiettivi che sottendono la loro costituzione (e fissati dalla norma): non solo economici, ambientali ed energetici</w:t>
      </w:r>
      <w:r>
        <w:t xml:space="preserve"> ma anche sociali.</w:t>
      </w:r>
    </w:p>
    <w:p w:rsidR="00BA1310" w:rsidRDefault="00BA1310" w:rsidP="00BA1310">
      <w:pPr>
        <w:spacing w:after="120"/>
        <w:ind w:left="1276"/>
        <w:jc w:val="both"/>
      </w:pPr>
      <w:r>
        <w:t>Questo nuovo modello energetico, spostando il focus dai tradizionali sistemi centralizzati a reti locali e decentralizzate, rappresenta un cambiamento significativo anche del ruolo dei soggetti coinvolti che da semplici utilizzatori passivi possono diventare produttori di energia (prosumer) e partecipare attivamente alle decisioni di gestione e sviluppo della comunit</w:t>
      </w:r>
      <w:r>
        <w:t>à anche in qualità di consumer.</w:t>
      </w:r>
    </w:p>
    <w:p w:rsidR="00BA1310" w:rsidRDefault="00BA1310" w:rsidP="00BA1310">
      <w:pPr>
        <w:spacing w:after="120"/>
        <w:ind w:left="1276"/>
        <w:jc w:val="both"/>
      </w:pPr>
      <w:r>
        <w:t xml:space="preserve">Le CER rappresentano quindi anche una sfida sociale significativa, poiché richiedono un cambiamento nei comportamenti, nelle strutture organizzative e nei modelli di </w:t>
      </w:r>
      <w:r w:rsidRPr="00BA1310">
        <w:rPr>
          <w:i/>
        </w:rPr>
        <w:t>governance</w:t>
      </w:r>
      <w:r>
        <w:t xml:space="preserve"> tradizionali nonché il coordinamento e l'impegno congiunto di imprese, istituzioni, cittadini e organizzazioni. </w:t>
      </w:r>
    </w:p>
    <w:p w:rsidR="00BA1310" w:rsidRDefault="00BA1310" w:rsidP="00BA1310">
      <w:pPr>
        <w:spacing w:after="120"/>
        <w:ind w:left="1276"/>
        <w:jc w:val="both"/>
      </w:pPr>
      <w:r>
        <w:lastRenderedPageBreak/>
        <w:t>Questa transazione verso una logica più collettiva, cooperativa e partecipativa dei diversi attori del territorio oltre a rappresentare la condizione necessaria a realizzare il pieno potenziale delle CER, può innescare processi virtuosi di costruzione condivisa di strategie e azioni per lo sviluppo locale con benefici economici, ambie</w:t>
      </w:r>
      <w:r>
        <w:t>ntali e sociali della comunità.</w:t>
      </w:r>
    </w:p>
    <w:p w:rsidR="00BA1310" w:rsidRDefault="00BA1310" w:rsidP="00BA1310">
      <w:pPr>
        <w:spacing w:after="120"/>
        <w:ind w:left="1276"/>
        <w:jc w:val="both"/>
      </w:pPr>
      <w:r>
        <w:t>Anche per questo ultimo aspetto la CER potrebbe costituire per le imprese una interessante progettualità sotto il profilo della sostenibilità ESG dell’organizzazione aziendale, integrandone tutti i criteri (Environment, Social e Governance).</w:t>
      </w:r>
    </w:p>
    <w:p w:rsidR="00BA1310" w:rsidRDefault="00BA1310" w:rsidP="00BA1310">
      <w:pPr>
        <w:spacing w:after="120"/>
        <w:ind w:left="1276"/>
        <w:jc w:val="both"/>
      </w:pPr>
    </w:p>
    <w:p w:rsidR="00BA1310" w:rsidRDefault="00BA1310" w:rsidP="00BA1310">
      <w:pPr>
        <w:spacing w:after="120"/>
        <w:ind w:left="1276"/>
        <w:jc w:val="both"/>
      </w:pPr>
      <w:r>
        <w:t>Per approfondimenti:</w:t>
      </w:r>
    </w:p>
    <w:p w:rsidR="00BA1310" w:rsidRDefault="00BA1310" w:rsidP="00BA1310">
      <w:pPr>
        <w:spacing w:after="120"/>
        <w:ind w:left="1276"/>
        <w:jc w:val="both"/>
      </w:pPr>
      <w:r>
        <w:t>Gestore dei Servizi Energetici GSE S.p.A.</w:t>
      </w:r>
      <w:r>
        <w:t xml:space="preserve">: </w:t>
      </w:r>
      <w:r>
        <w:t>www.gse.it</w:t>
      </w:r>
    </w:p>
    <w:p w:rsidR="00BA1310" w:rsidRDefault="00BA1310" w:rsidP="00BA1310">
      <w:pPr>
        <w:spacing w:after="120"/>
        <w:ind w:left="1276"/>
        <w:jc w:val="both"/>
      </w:pPr>
      <w:hyperlink r:id="rId9" w:history="1">
        <w:r w:rsidRPr="00BA1310">
          <w:rPr>
            <w:rStyle w:val="Collegamentoipertestuale"/>
          </w:rPr>
          <w:t>Info energia -  Portale provinciale dell’energia &gt;&gt;&gt;</w:t>
        </w:r>
      </w:hyperlink>
    </w:p>
    <w:p w:rsidR="00BA1310" w:rsidRDefault="00BA1310" w:rsidP="00BA1310">
      <w:pPr>
        <w:spacing w:after="120"/>
        <w:ind w:left="1276"/>
        <w:jc w:val="both"/>
      </w:pPr>
    </w:p>
    <w:p w:rsidR="00C22FAA" w:rsidRPr="00BA1310" w:rsidRDefault="00BA1310" w:rsidP="00BA1310">
      <w:pPr>
        <w:spacing w:after="120"/>
        <w:ind w:left="1276"/>
        <w:jc w:val="both"/>
        <w:rPr>
          <w:rFonts w:cs="Helvetica"/>
          <w:i/>
        </w:rPr>
      </w:pPr>
      <w:r w:rsidRPr="00BA1310">
        <w:rPr>
          <w:i/>
        </w:rPr>
        <w:t>A cura dell’Ufficio Innovazione e Sviluppo della Camera di Commercio di Trento</w:t>
      </w:r>
      <w:r w:rsidRPr="00BA1310">
        <w:rPr>
          <w:rFonts w:cs="Helvetica"/>
          <w:i/>
        </w:rPr>
        <w:t xml:space="preserve"> </w:t>
      </w:r>
      <w:bookmarkStart w:id="0" w:name="_GoBack"/>
      <w:bookmarkEnd w:id="0"/>
    </w:p>
    <w:sectPr w:rsidR="00C22FAA" w:rsidRPr="00BA1310" w:rsidSect="00D5352B">
      <w:footerReference w:type="default" r:id="rId10"/>
      <w:headerReference w:type="first" r:id="rId11"/>
      <w:footerReference w:type="first" r:id="rId12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CF" w:rsidRDefault="00963ACF">
      <w:r>
        <w:separator/>
      </w:r>
    </w:p>
  </w:endnote>
  <w:endnote w:type="continuationSeparator" w:id="0">
    <w:p w:rsidR="00963ACF" w:rsidRDefault="009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CF" w:rsidRPr="007C29A7" w:rsidRDefault="00963AC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63ACF" w:rsidRPr="003F1A52" w:rsidRDefault="00963AC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63ACF" w:rsidRDefault="00963AC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63ACF" w:rsidRPr="003F1A52" w:rsidRDefault="00963ACF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963ACF" w:rsidRDefault="00963ACF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63ACF" w:rsidRDefault="00963AC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63ACF" w:rsidRPr="003F1A52" w:rsidRDefault="00963AC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CF" w:rsidRPr="007C29A7" w:rsidRDefault="00963AC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63ACF" w:rsidRPr="003F1A52" w:rsidRDefault="00963AC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63ACF" w:rsidRDefault="00963AC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63ACF" w:rsidRPr="003F1A52" w:rsidRDefault="00963AC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963ACF" w:rsidRDefault="00963AC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963ACF" w:rsidRDefault="00963AC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963ACF" w:rsidRPr="003F1A52" w:rsidRDefault="00963AC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CF" w:rsidRDefault="00963ACF">
      <w:r>
        <w:separator/>
      </w:r>
    </w:p>
  </w:footnote>
  <w:footnote w:type="continuationSeparator" w:id="0">
    <w:p w:rsidR="00963ACF" w:rsidRDefault="009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CF" w:rsidRDefault="00963ACF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>
          <wp:extent cx="1755321" cy="9719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ATA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919" cy="98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3ACF" w:rsidRDefault="00963ACF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7410"/>
    <w:rsid w:val="00070E99"/>
    <w:rsid w:val="000720F4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E3A0F"/>
    <w:rsid w:val="000E58E6"/>
    <w:rsid w:val="000F723C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0967"/>
    <w:rsid w:val="001636C9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3264"/>
    <w:rsid w:val="001B3A78"/>
    <w:rsid w:val="001B71C1"/>
    <w:rsid w:val="001C1FB0"/>
    <w:rsid w:val="001C3091"/>
    <w:rsid w:val="001C40F6"/>
    <w:rsid w:val="001C63B4"/>
    <w:rsid w:val="001C72E4"/>
    <w:rsid w:val="001D0321"/>
    <w:rsid w:val="001D43E8"/>
    <w:rsid w:val="001D7050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972F6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0A71"/>
    <w:rsid w:val="002F1B92"/>
    <w:rsid w:val="002F626F"/>
    <w:rsid w:val="002F7403"/>
    <w:rsid w:val="00302C76"/>
    <w:rsid w:val="003142EC"/>
    <w:rsid w:val="003212E5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83ADE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E42F5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358A"/>
    <w:rsid w:val="00434A23"/>
    <w:rsid w:val="00436106"/>
    <w:rsid w:val="00436700"/>
    <w:rsid w:val="00437921"/>
    <w:rsid w:val="00437B6B"/>
    <w:rsid w:val="00455D46"/>
    <w:rsid w:val="00455DD7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603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3BF9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C3AAF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587A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0BB5"/>
    <w:rsid w:val="006E762F"/>
    <w:rsid w:val="006F0AFA"/>
    <w:rsid w:val="006F0BB4"/>
    <w:rsid w:val="006F1DE9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05C4"/>
    <w:rsid w:val="007317B0"/>
    <w:rsid w:val="00735F9C"/>
    <w:rsid w:val="00736E31"/>
    <w:rsid w:val="00744AB0"/>
    <w:rsid w:val="007514D5"/>
    <w:rsid w:val="0075255B"/>
    <w:rsid w:val="00764265"/>
    <w:rsid w:val="0077654C"/>
    <w:rsid w:val="0078086D"/>
    <w:rsid w:val="0078210A"/>
    <w:rsid w:val="007826B1"/>
    <w:rsid w:val="00783CF4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0428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0416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7E4"/>
    <w:rsid w:val="00950B25"/>
    <w:rsid w:val="00953231"/>
    <w:rsid w:val="00955F49"/>
    <w:rsid w:val="00956508"/>
    <w:rsid w:val="00956F2E"/>
    <w:rsid w:val="00960EA5"/>
    <w:rsid w:val="00963ACF"/>
    <w:rsid w:val="0096513C"/>
    <w:rsid w:val="00973FFF"/>
    <w:rsid w:val="009823CC"/>
    <w:rsid w:val="00982D23"/>
    <w:rsid w:val="0099089F"/>
    <w:rsid w:val="00991071"/>
    <w:rsid w:val="009920D3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D6661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17952"/>
    <w:rsid w:val="00A220FE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E7A2D"/>
    <w:rsid w:val="00AF14E0"/>
    <w:rsid w:val="00AF28E0"/>
    <w:rsid w:val="00AF58DA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1A54"/>
    <w:rsid w:val="00B82E76"/>
    <w:rsid w:val="00B86967"/>
    <w:rsid w:val="00B86F38"/>
    <w:rsid w:val="00B872D7"/>
    <w:rsid w:val="00B87E5D"/>
    <w:rsid w:val="00B92024"/>
    <w:rsid w:val="00B934F4"/>
    <w:rsid w:val="00B95556"/>
    <w:rsid w:val="00BA1310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1B9E"/>
    <w:rsid w:val="00BF72D6"/>
    <w:rsid w:val="00BF78E1"/>
    <w:rsid w:val="00C037D5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B7EA9"/>
    <w:rsid w:val="00CC12F4"/>
    <w:rsid w:val="00CC22BE"/>
    <w:rsid w:val="00CC5765"/>
    <w:rsid w:val="00CD6045"/>
    <w:rsid w:val="00CD62E8"/>
    <w:rsid w:val="00CE369E"/>
    <w:rsid w:val="00CE4EE3"/>
    <w:rsid w:val="00CF070B"/>
    <w:rsid w:val="00CF33F3"/>
    <w:rsid w:val="00D0064E"/>
    <w:rsid w:val="00D00AC9"/>
    <w:rsid w:val="00D12239"/>
    <w:rsid w:val="00D12E51"/>
    <w:rsid w:val="00D23CF7"/>
    <w:rsid w:val="00D30721"/>
    <w:rsid w:val="00D31BC4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37AE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40D0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76E26"/>
    <w:rsid w:val="00E826A6"/>
    <w:rsid w:val="00E877EE"/>
    <w:rsid w:val="00E87CAA"/>
    <w:rsid w:val="00E921B2"/>
    <w:rsid w:val="00E9450B"/>
    <w:rsid w:val="00E95494"/>
    <w:rsid w:val="00EA0614"/>
    <w:rsid w:val="00EA2066"/>
    <w:rsid w:val="00EB129C"/>
    <w:rsid w:val="00EB6957"/>
    <w:rsid w:val="00EC0874"/>
    <w:rsid w:val="00EC2264"/>
    <w:rsid w:val="00EC3FD9"/>
    <w:rsid w:val="00EC5D4C"/>
    <w:rsid w:val="00ED0CBF"/>
    <w:rsid w:val="00ED1306"/>
    <w:rsid w:val="00ED1E1D"/>
    <w:rsid w:val="00ED5723"/>
    <w:rsid w:val="00ED6651"/>
    <w:rsid w:val="00EE1260"/>
    <w:rsid w:val="00EE3B85"/>
    <w:rsid w:val="00EE758A"/>
    <w:rsid w:val="00EF3406"/>
    <w:rsid w:val="00EF6A0D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27799"/>
    <w:rsid w:val="00F35F6E"/>
    <w:rsid w:val="00F36083"/>
    <w:rsid w:val="00F402A6"/>
    <w:rsid w:val="00F41278"/>
    <w:rsid w:val="00F4178A"/>
    <w:rsid w:val="00F42644"/>
    <w:rsid w:val="00F4336A"/>
    <w:rsid w:val="00F43606"/>
    <w:rsid w:val="00F450BB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751ED"/>
    <w:rsid w:val="00F84811"/>
    <w:rsid w:val="00F86F1B"/>
    <w:rsid w:val="00F87186"/>
    <w:rsid w:val="00F87E83"/>
    <w:rsid w:val="00F96B59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E4C48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AC914FA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  <w:style w:type="character" w:styleId="Enfasicorsivo">
    <w:name w:val="Emphasis"/>
    <w:basedOn w:val="Carpredefinitoparagrafo"/>
    <w:uiPriority w:val="20"/>
    <w:qFormat/>
    <w:rsid w:val="00AE7A2D"/>
    <w:rPr>
      <w:i/>
      <w:iCs/>
    </w:rPr>
  </w:style>
  <w:style w:type="character" w:customStyle="1" w:styleId="marker">
    <w:name w:val="marker"/>
    <w:basedOn w:val="Carpredefinitoparagrafo"/>
    <w:rsid w:val="00AE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energia.provincia.tn.it/Pagine-Autoconsumo-Diffuso/Comunita-di-energia-rinnovabil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8C79-BFA8-468B-AAD5-FFD52CAD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5431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3</cp:revision>
  <cp:lastPrinted>2018-06-19T09:49:00Z</cp:lastPrinted>
  <dcterms:created xsi:type="dcterms:W3CDTF">2024-11-21T08:27:00Z</dcterms:created>
  <dcterms:modified xsi:type="dcterms:W3CDTF">2024-11-21T08:28:00Z</dcterms:modified>
</cp:coreProperties>
</file>