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5518CD" w:rsidP="00E5686D">
      <w:pPr>
        <w:spacing w:after="120"/>
        <w:ind w:left="1275" w:hanging="11"/>
      </w:pPr>
      <w:r>
        <w:t>Camera di Commercio e BIM Adige Trento</w:t>
      </w:r>
    </w:p>
    <w:p w:rsidR="00FF1F46" w:rsidRDefault="005518CD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COMUNITA’ ENERGETICHE RINNOVABILI</w:t>
      </w:r>
      <w:r w:rsidR="00B83539">
        <w:rPr>
          <w:b/>
          <w:sz w:val="28"/>
          <w:szCs w:val="28"/>
        </w:rPr>
        <w:t>: IMPRESE E PUBBLICO SI INCONTRANO</w:t>
      </w:r>
    </w:p>
    <w:p w:rsidR="004F3A31" w:rsidRDefault="00B83539" w:rsidP="00FF1F46">
      <w:pPr>
        <w:spacing w:line="276" w:lineRule="auto"/>
        <w:ind w:left="1276"/>
        <w:rPr>
          <w:b/>
          <w:sz w:val="28"/>
          <w:szCs w:val="28"/>
        </w:rPr>
      </w:pPr>
      <w:r>
        <w:t xml:space="preserve">Questa mattina la conferenza stampa di presentazione del progetto che vede la collaborazione di Ente camerale e BIM Adige Trento </w:t>
      </w:r>
      <w:r w:rsidR="00B83166">
        <w:t>sul tema delle</w:t>
      </w:r>
      <w:r>
        <w:t xml:space="preserve"> Comunità energetiche rinnovabili</w:t>
      </w:r>
      <w:r w:rsidR="00BF1B9E">
        <w:t>.</w:t>
      </w:r>
    </w:p>
    <w:p w:rsidR="000720F4" w:rsidRDefault="000720F4" w:rsidP="00FF1F46">
      <w:pPr>
        <w:spacing w:line="276" w:lineRule="auto"/>
        <w:ind w:left="1276"/>
        <w:rPr>
          <w:b/>
          <w:sz w:val="28"/>
          <w:szCs w:val="28"/>
        </w:rPr>
      </w:pPr>
    </w:p>
    <w:p w:rsidR="00B872D7" w:rsidRPr="00FF1F46" w:rsidRDefault="00B872D7" w:rsidP="00F96B59">
      <w:pPr>
        <w:spacing w:line="276" w:lineRule="auto"/>
        <w:rPr>
          <w:b/>
          <w:sz w:val="28"/>
          <w:szCs w:val="28"/>
        </w:rPr>
      </w:pPr>
    </w:p>
    <w:p w:rsidR="00B83539" w:rsidRDefault="009507E4" w:rsidP="005518CD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TRENTO, </w:t>
      </w:r>
      <w:r w:rsidR="00B83539">
        <w:rPr>
          <w:rFonts w:cs="Helvetica"/>
        </w:rPr>
        <w:t>25</w:t>
      </w:r>
      <w:r w:rsidR="00383ADE">
        <w:rPr>
          <w:rFonts w:cs="Helvetica"/>
        </w:rPr>
        <w:t xml:space="preserve"> novembre</w:t>
      </w:r>
      <w:r>
        <w:rPr>
          <w:rFonts w:cs="Helvetica"/>
        </w:rPr>
        <w:t xml:space="preserve"> 2024 </w:t>
      </w:r>
      <w:r w:rsidR="006E0BB5">
        <w:rPr>
          <w:rFonts w:cs="Helvetica"/>
        </w:rPr>
        <w:t>–</w:t>
      </w:r>
      <w:r>
        <w:rPr>
          <w:rFonts w:cs="Helvetica"/>
        </w:rPr>
        <w:t xml:space="preserve"> </w:t>
      </w:r>
      <w:r w:rsidR="005518CD" w:rsidRPr="005518CD">
        <w:rPr>
          <w:rFonts w:cs="Helvetica"/>
        </w:rPr>
        <w:t xml:space="preserve">Le energie rinnovabili rappresentano un pilastro fondamentale per la costruzione di un sistema economico più sostenibile e attento all’ambiente. </w:t>
      </w:r>
      <w:r w:rsidR="00171125">
        <w:rPr>
          <w:rFonts w:cs="Helvetica"/>
        </w:rPr>
        <w:t>In questo ambito l</w:t>
      </w:r>
      <w:r w:rsidR="005518CD" w:rsidRPr="005518CD">
        <w:rPr>
          <w:rFonts w:cs="Helvetica"/>
        </w:rPr>
        <w:t xml:space="preserve">e </w:t>
      </w:r>
      <w:r w:rsidR="00657DAF">
        <w:rPr>
          <w:rFonts w:cs="Helvetica"/>
        </w:rPr>
        <w:t>comunità energetiche</w:t>
      </w:r>
      <w:r w:rsidR="00BF1088">
        <w:rPr>
          <w:rFonts w:cs="Helvetica"/>
        </w:rPr>
        <w:t xml:space="preserve"> rinnovabili</w:t>
      </w:r>
      <w:r w:rsidR="00657DAF">
        <w:rPr>
          <w:rFonts w:cs="Helvetica"/>
        </w:rPr>
        <w:t xml:space="preserve"> (</w:t>
      </w:r>
      <w:r w:rsidR="005518CD" w:rsidRPr="005518CD">
        <w:rPr>
          <w:rFonts w:cs="Helvetica"/>
        </w:rPr>
        <w:t>CER</w:t>
      </w:r>
      <w:r w:rsidR="00657DAF">
        <w:rPr>
          <w:rFonts w:cs="Helvetica"/>
        </w:rPr>
        <w:t>)</w:t>
      </w:r>
      <w:r w:rsidR="005518CD" w:rsidRPr="005518CD">
        <w:rPr>
          <w:rFonts w:cs="Helvetica"/>
        </w:rPr>
        <w:t xml:space="preserve"> offrono a imprese, istituzioni e cittadini una soluzione innovativa che valorizza la dimensione sociale di ogni </w:t>
      </w:r>
      <w:r w:rsidR="005518CD">
        <w:rPr>
          <w:rFonts w:cs="Helvetica"/>
        </w:rPr>
        <w:t>soggetto</w:t>
      </w:r>
      <w:r w:rsidR="005518CD" w:rsidRPr="005518CD">
        <w:rPr>
          <w:rFonts w:cs="Helvetica"/>
        </w:rPr>
        <w:t xml:space="preserve">, promuovendo un modello </w:t>
      </w:r>
      <w:r w:rsidR="00657DAF">
        <w:rPr>
          <w:rFonts w:cs="Helvetica"/>
        </w:rPr>
        <w:t xml:space="preserve">virtuoso </w:t>
      </w:r>
      <w:r w:rsidR="005518CD" w:rsidRPr="005518CD">
        <w:rPr>
          <w:rFonts w:cs="Helvetica"/>
        </w:rPr>
        <w:t>di condivisione e partecipazione</w:t>
      </w:r>
      <w:r w:rsidR="005518CD">
        <w:rPr>
          <w:rFonts w:cs="Helvetica"/>
        </w:rPr>
        <w:t xml:space="preserve">. </w:t>
      </w:r>
    </w:p>
    <w:p w:rsidR="00B83539" w:rsidRDefault="00BF1088" w:rsidP="005518CD">
      <w:pPr>
        <w:spacing w:after="120"/>
        <w:ind w:left="1276"/>
        <w:jc w:val="both"/>
      </w:pPr>
      <w:r>
        <w:rPr>
          <w:rFonts w:cs="Helvetica"/>
        </w:rPr>
        <w:t xml:space="preserve">Di recente </w:t>
      </w:r>
      <w:proofErr w:type="spellStart"/>
      <w:r w:rsidR="005518CD">
        <w:rPr>
          <w:rFonts w:cs="Helvetica"/>
        </w:rPr>
        <w:t>Unioncamere</w:t>
      </w:r>
      <w:proofErr w:type="spellEnd"/>
      <w:r w:rsidR="00F36215">
        <w:rPr>
          <w:rFonts w:cs="Helvetica"/>
        </w:rPr>
        <w:t xml:space="preserve"> </w:t>
      </w:r>
      <w:r>
        <w:rPr>
          <w:rFonts w:cs="Helvetica"/>
        </w:rPr>
        <w:t xml:space="preserve">– la rete nazionale delle Camere di Commercio - </w:t>
      </w:r>
      <w:r w:rsidR="005518CD">
        <w:rPr>
          <w:rFonts w:cs="Helvetica"/>
        </w:rPr>
        <w:t>ha intrapreso una serie di in</w:t>
      </w:r>
      <w:r w:rsidR="00934A66">
        <w:rPr>
          <w:rFonts w:cs="Helvetica"/>
        </w:rPr>
        <w:t>i</w:t>
      </w:r>
      <w:r w:rsidR="005518CD">
        <w:rPr>
          <w:rFonts w:cs="Helvetica"/>
        </w:rPr>
        <w:t xml:space="preserve">ziative </w:t>
      </w:r>
      <w:r w:rsidR="00335552">
        <w:rPr>
          <w:rFonts w:cs="Helvetica"/>
        </w:rPr>
        <w:t>a sostegno della</w:t>
      </w:r>
      <w:r w:rsidR="00934A66">
        <w:rPr>
          <w:rFonts w:cs="Helvetica"/>
        </w:rPr>
        <w:t xml:space="preserve"> transizione energetica, </w:t>
      </w:r>
      <w:r w:rsidR="00335552">
        <w:rPr>
          <w:rFonts w:cs="Helvetica"/>
        </w:rPr>
        <w:t>con particolare riferimento al tema delle</w:t>
      </w:r>
      <w:r w:rsidR="00934A66">
        <w:rPr>
          <w:rFonts w:cs="Helvetica"/>
        </w:rPr>
        <w:t xml:space="preserve"> </w:t>
      </w:r>
      <w:r w:rsidR="00657DAF">
        <w:rPr>
          <w:rFonts w:cs="Helvetica"/>
        </w:rPr>
        <w:t>CER</w:t>
      </w:r>
      <w:r w:rsidR="005518CD">
        <w:rPr>
          <w:rFonts w:cs="Helvetica"/>
        </w:rPr>
        <w:t xml:space="preserve">. </w:t>
      </w:r>
      <w:r w:rsidR="00335552">
        <w:rPr>
          <w:rFonts w:cs="Helvetica"/>
        </w:rPr>
        <w:t xml:space="preserve">L’obiettivo </w:t>
      </w:r>
      <w:r w:rsidR="00934A66">
        <w:t xml:space="preserve">è quello di aumentare la consapevolezza delle possibili alternative all’attuale quadro di approvvigionamento energetico, spingendo le imprese </w:t>
      </w:r>
      <w:r w:rsidR="00B83539">
        <w:t xml:space="preserve">a produrre in tutto o in parte </w:t>
      </w:r>
      <w:r w:rsidR="00934A66">
        <w:t xml:space="preserve">l’energia della quale hanno bisogno, investendo </w:t>
      </w:r>
      <w:r w:rsidR="00B83539">
        <w:t>su</w:t>
      </w:r>
      <w:r w:rsidR="00934A66">
        <w:t xml:space="preserve"> fonti rinnovabili, </w:t>
      </w:r>
      <w:r w:rsidR="00B83539">
        <w:t xml:space="preserve">come </w:t>
      </w:r>
      <w:r w:rsidR="00934A66">
        <w:t xml:space="preserve">solare ed eolico. </w:t>
      </w:r>
    </w:p>
    <w:p w:rsidR="00F36215" w:rsidRDefault="00F36215" w:rsidP="005518CD">
      <w:pPr>
        <w:spacing w:after="120"/>
        <w:ind w:left="1276"/>
        <w:jc w:val="both"/>
      </w:pPr>
      <w:r>
        <w:t xml:space="preserve">Anche la Camera di Commercio di Trento ha scelto di impegnarsi </w:t>
      </w:r>
      <w:r w:rsidR="00BF1088">
        <w:t>su questo fronte</w:t>
      </w:r>
      <w:r>
        <w:t xml:space="preserve"> </w:t>
      </w:r>
      <w:r w:rsidR="00BF1088">
        <w:t>e ha trovato</w:t>
      </w:r>
      <w:r>
        <w:t xml:space="preserve"> nel BIM Adige Trento un partner prezioso </w:t>
      </w:r>
      <w:r w:rsidR="00BF1088">
        <w:t xml:space="preserve">in virtù </w:t>
      </w:r>
      <w:r>
        <w:t xml:space="preserve">dell’esperienza già maturata in questo </w:t>
      </w:r>
      <w:r w:rsidR="00BF1088">
        <w:t>campo</w:t>
      </w:r>
      <w:r>
        <w:t>.</w:t>
      </w:r>
    </w:p>
    <w:p w:rsidR="00F36215" w:rsidRDefault="00F36215" w:rsidP="005518CD">
      <w:pPr>
        <w:spacing w:after="120"/>
        <w:ind w:left="1276"/>
        <w:jc w:val="both"/>
      </w:pPr>
      <w:r>
        <w:t>Ne è</w:t>
      </w:r>
      <w:r w:rsidR="00BF1088">
        <w:t xml:space="preserve"> nata una collaborazione che ha dato luce ad </w:t>
      </w:r>
      <w:r>
        <w:t>un progetto di promozione delle comunità energetiche</w:t>
      </w:r>
      <w:r w:rsidR="00BF1088">
        <w:t>,</w:t>
      </w:r>
      <w:r>
        <w:t xml:space="preserve"> articolato in una serie di incontri sul territorio rivolti a cittadini e imprese. L’iniziativa è stata presentata ques</w:t>
      </w:r>
      <w:r w:rsidR="00BF1088">
        <w:t>ta mattina presso la sede c</w:t>
      </w:r>
      <w:r>
        <w:t>amerale.</w:t>
      </w:r>
    </w:p>
    <w:p w:rsidR="00DF5164" w:rsidRDefault="00DF5164" w:rsidP="005518CD">
      <w:pPr>
        <w:spacing w:after="120"/>
        <w:ind w:left="1276"/>
        <w:jc w:val="both"/>
        <w:rPr>
          <w:rFonts w:cs="Helvetica"/>
        </w:rPr>
      </w:pPr>
      <w:r>
        <w:t>“</w:t>
      </w:r>
      <w:r w:rsidR="00335552">
        <w:t xml:space="preserve">Le comunità energetiche rinnovabili </w:t>
      </w:r>
      <w:r>
        <w:t xml:space="preserve">– ha osservato </w:t>
      </w:r>
      <w:r w:rsidRPr="00DF5164">
        <w:rPr>
          <w:b/>
        </w:rPr>
        <w:t>Rino Belfanti</w:t>
      </w:r>
      <w:r>
        <w:t xml:space="preserve">, direttore dell’Ufficio Innovazione e Sviluppo della Camera di Commercio </w:t>
      </w:r>
      <w:r w:rsidR="00CF7F8C">
        <w:t>–</w:t>
      </w:r>
      <w:r w:rsidR="000D17FE">
        <w:t xml:space="preserve"> </w:t>
      </w:r>
      <w:bookmarkStart w:id="0" w:name="_GoBack"/>
      <w:bookmarkEnd w:id="0"/>
      <w:r w:rsidR="00335552">
        <w:t xml:space="preserve">rappresentano una risposta </w:t>
      </w:r>
      <w:r w:rsidR="00B83539">
        <w:t>concreta</w:t>
      </w:r>
      <w:r w:rsidR="00335552">
        <w:t xml:space="preserve"> </w:t>
      </w:r>
      <w:r w:rsidR="005C5DF3">
        <w:t xml:space="preserve">all’esigenza di </w:t>
      </w:r>
      <w:proofErr w:type="spellStart"/>
      <w:r w:rsidR="00B83539">
        <w:t>decarbonizzazione</w:t>
      </w:r>
      <w:proofErr w:type="spellEnd"/>
      <w:r w:rsidR="00B83539">
        <w:t xml:space="preserve"> delle fonti e </w:t>
      </w:r>
      <w:r w:rsidR="00802DDF">
        <w:t>si configurano come una soluzione altamente efficiente</w:t>
      </w:r>
      <w:r>
        <w:t xml:space="preserve"> soprattutto </w:t>
      </w:r>
      <w:r w:rsidR="00657DAF">
        <w:t>quando</w:t>
      </w:r>
      <w:r>
        <w:t xml:space="preserve"> riescono a soddisfare esigenze di consumo </w:t>
      </w:r>
      <w:r>
        <w:lastRenderedPageBreak/>
        <w:t>complementari</w:t>
      </w:r>
      <w:r w:rsidR="0010382B">
        <w:t>,</w:t>
      </w:r>
      <w:r>
        <w:t xml:space="preserve"> come quelle di cittadini ed imprese. Le imprese, con un fabbisogno energetico concentrato prevalentemente nelle ore diurne, e i cittadini, che consumano maggiormente nelle ore serali e notturne, garantiscono un utilizzo equilibrato e continuo dell’energia prodotta”</w:t>
      </w:r>
      <w:r w:rsidR="0088247A">
        <w:rPr>
          <w:rFonts w:cs="Helvetica"/>
        </w:rPr>
        <w:t>.</w:t>
      </w:r>
    </w:p>
    <w:p w:rsidR="00B6419D" w:rsidRDefault="00F36215" w:rsidP="005518CD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Propri</w:t>
      </w:r>
      <w:r w:rsidR="00BF1088">
        <w:rPr>
          <w:rFonts w:cs="Helvetica"/>
        </w:rPr>
        <w:t>o per accrescere l’efficienza del</w:t>
      </w:r>
      <w:r>
        <w:rPr>
          <w:rFonts w:cs="Helvetica"/>
        </w:rPr>
        <w:t xml:space="preserve"> sistema</w:t>
      </w:r>
      <w:r w:rsidR="00CF7F8C">
        <w:rPr>
          <w:rFonts w:cs="Helvetica"/>
        </w:rPr>
        <w:t>,</w:t>
      </w:r>
      <w:r>
        <w:rPr>
          <w:rFonts w:cs="Helvetica"/>
        </w:rPr>
        <w:t xml:space="preserve"> è importante che le comunità energetiche coinvolgano attori diversi e perché ciò accada, è fondamentale il ruolo dell’Ente pubblico: “</w:t>
      </w:r>
      <w:r w:rsidR="00B6419D">
        <w:rPr>
          <w:rFonts w:cs="Helvetica"/>
        </w:rPr>
        <w:t xml:space="preserve">In Italia – ha ricordato il presidente della Camera di Commercio di Trento, </w:t>
      </w:r>
      <w:r w:rsidR="00B6419D" w:rsidRPr="00B6419D">
        <w:rPr>
          <w:rFonts w:cs="Helvetica"/>
          <w:b/>
        </w:rPr>
        <w:t xml:space="preserve">Andrea De </w:t>
      </w:r>
      <w:proofErr w:type="spellStart"/>
      <w:r w:rsidR="00B6419D" w:rsidRPr="00B6419D">
        <w:rPr>
          <w:rFonts w:cs="Helvetica"/>
          <w:b/>
        </w:rPr>
        <w:t>Zordo</w:t>
      </w:r>
      <w:proofErr w:type="spellEnd"/>
      <w:r w:rsidR="00B6419D">
        <w:rPr>
          <w:rFonts w:cs="Helvetica"/>
        </w:rPr>
        <w:t xml:space="preserve"> – l’ente pubblico è il promotore del 58% delle comunità energetiche esistenti. Si tratta in particolare di Comuni. Ecco perché è nata la collaborazione con il BIM che </w:t>
      </w:r>
      <w:r w:rsidR="00CF7F8C">
        <w:rPr>
          <w:rFonts w:cs="Helvetica"/>
        </w:rPr>
        <w:t xml:space="preserve">come consorzio </w:t>
      </w:r>
      <w:r w:rsidR="00B6419D">
        <w:rPr>
          <w:rFonts w:cs="Helvetica"/>
        </w:rPr>
        <w:t xml:space="preserve">associa oltre un centinaio di </w:t>
      </w:r>
      <w:r w:rsidR="00BF1088">
        <w:rPr>
          <w:rFonts w:cs="Helvetica"/>
        </w:rPr>
        <w:t>realtà locali</w:t>
      </w:r>
      <w:r w:rsidR="00B6419D">
        <w:rPr>
          <w:rFonts w:cs="Helvetica"/>
        </w:rPr>
        <w:t xml:space="preserve">”. </w:t>
      </w:r>
    </w:p>
    <w:p w:rsidR="0066587A" w:rsidRDefault="00B6419D" w:rsidP="005518CD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Il progetto dal titolo </w:t>
      </w:r>
      <w:r w:rsidR="0088247A" w:rsidRPr="0010382B">
        <w:rPr>
          <w:rFonts w:cs="Helvetica"/>
          <w:b/>
        </w:rPr>
        <w:t>“Le comunità energetiche per il territorio</w:t>
      </w:r>
      <w:r w:rsidR="00E726F2" w:rsidRPr="0010382B">
        <w:rPr>
          <w:rFonts w:cs="Helvetica"/>
          <w:b/>
        </w:rPr>
        <w:t>”</w:t>
      </w:r>
      <w:r w:rsidR="00E726F2" w:rsidRPr="0010382B">
        <w:rPr>
          <w:rFonts w:cs="Helvetica"/>
        </w:rPr>
        <w:t xml:space="preserve">, </w:t>
      </w:r>
      <w:r>
        <w:rPr>
          <w:rFonts w:cs="Helvetica"/>
        </w:rPr>
        <w:t xml:space="preserve">si articola in 4 convegni itineranti concepiti </w:t>
      </w:r>
      <w:r w:rsidR="0088247A">
        <w:rPr>
          <w:rFonts w:cs="Helvetica"/>
        </w:rPr>
        <w:t>“</w:t>
      </w:r>
      <w:r w:rsidR="0088247A" w:rsidRPr="0088247A">
        <w:rPr>
          <w:rFonts w:cs="Helvetica"/>
        </w:rPr>
        <w:t xml:space="preserve">con l’obiettivo </w:t>
      </w:r>
      <w:r w:rsidR="0088247A">
        <w:rPr>
          <w:rFonts w:cs="Helvetica"/>
        </w:rPr>
        <w:t xml:space="preserve">– ha precisato </w:t>
      </w:r>
      <w:r w:rsidR="0088247A" w:rsidRPr="00B6419D">
        <w:rPr>
          <w:rFonts w:cs="Helvetica"/>
          <w:b/>
        </w:rPr>
        <w:t>Luca Battisti</w:t>
      </w:r>
      <w:r w:rsidR="0088247A">
        <w:rPr>
          <w:rFonts w:cs="Helvetica"/>
        </w:rPr>
        <w:t>,</w:t>
      </w:r>
      <w:r>
        <w:rPr>
          <w:rFonts w:cs="Helvetica"/>
        </w:rPr>
        <w:t xml:space="preserve"> direttore BIM - </w:t>
      </w:r>
      <w:r w:rsidR="0088247A" w:rsidRPr="0088247A">
        <w:rPr>
          <w:rFonts w:cs="Helvetica"/>
        </w:rPr>
        <w:t>di sviluppare un ragionamento organico, teorico</w:t>
      </w:r>
      <w:r w:rsidR="00FB3B8C">
        <w:rPr>
          <w:rFonts w:cs="Helvetica"/>
        </w:rPr>
        <w:t>,</w:t>
      </w:r>
      <w:r w:rsidR="0088247A" w:rsidRPr="0088247A">
        <w:rPr>
          <w:rFonts w:cs="Helvetica"/>
        </w:rPr>
        <w:t xml:space="preserve"> ma anche pragmatico,</w:t>
      </w:r>
      <w:r>
        <w:rPr>
          <w:rFonts w:cs="Helvetica"/>
        </w:rPr>
        <w:t xml:space="preserve"> </w:t>
      </w:r>
      <w:r w:rsidR="00BF1088">
        <w:rPr>
          <w:rFonts w:cs="Helvetica"/>
        </w:rPr>
        <w:t>attraverso</w:t>
      </w:r>
      <w:r>
        <w:rPr>
          <w:rFonts w:cs="Helvetica"/>
        </w:rPr>
        <w:t xml:space="preserve"> una pluralità di esperti</w:t>
      </w:r>
      <w:r w:rsidR="0088247A" w:rsidRPr="0088247A">
        <w:rPr>
          <w:rFonts w:cs="Helvetica"/>
        </w:rPr>
        <w:t xml:space="preserve"> </w:t>
      </w:r>
      <w:r w:rsidR="00BF1088">
        <w:rPr>
          <w:rFonts w:cs="Helvetica"/>
        </w:rPr>
        <w:t>per affrontare</w:t>
      </w:r>
      <w:r w:rsidR="0088247A" w:rsidRPr="0088247A">
        <w:rPr>
          <w:rFonts w:cs="Helvetica"/>
        </w:rPr>
        <w:t xml:space="preserve"> i vari aspetti legati alle CER, quali quello tecnico, fiscale ed ambientale</w:t>
      </w:r>
      <w:r w:rsidR="0088247A">
        <w:rPr>
          <w:rFonts w:cs="Helvetica"/>
        </w:rPr>
        <w:t>”.</w:t>
      </w:r>
    </w:p>
    <w:p w:rsidR="0088247A" w:rsidRDefault="0010382B" w:rsidP="005518CD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Dopo </w:t>
      </w:r>
      <w:r w:rsidR="00BF1088">
        <w:rPr>
          <w:rFonts w:cs="Helvetica"/>
        </w:rPr>
        <w:t>il primo appuntamento fissato per</w:t>
      </w:r>
      <w:r>
        <w:rPr>
          <w:rFonts w:cs="Helvetica"/>
        </w:rPr>
        <w:t xml:space="preserve"> </w:t>
      </w:r>
      <w:r w:rsidR="00BF1088">
        <w:rPr>
          <w:rFonts w:cs="Helvetica"/>
        </w:rPr>
        <w:t>il</w:t>
      </w:r>
      <w:r w:rsidR="0088247A" w:rsidRPr="0088247A">
        <w:rPr>
          <w:rFonts w:cs="Helvetica"/>
        </w:rPr>
        <w:t xml:space="preserve"> 29 novembre 2024 </w:t>
      </w:r>
      <w:r>
        <w:rPr>
          <w:rFonts w:cs="Helvetica"/>
        </w:rPr>
        <w:t xml:space="preserve">che avrà luogo presso la Camera di Commercio, gli altri </w:t>
      </w:r>
      <w:r w:rsidR="00B6419D">
        <w:rPr>
          <w:rFonts w:cs="Helvetica"/>
        </w:rPr>
        <w:t xml:space="preserve">incontri </w:t>
      </w:r>
      <w:r>
        <w:rPr>
          <w:rFonts w:cs="Helvetica"/>
        </w:rPr>
        <w:t xml:space="preserve">si terranno in </w:t>
      </w:r>
      <w:proofErr w:type="spellStart"/>
      <w:r>
        <w:rPr>
          <w:rFonts w:cs="Helvetica"/>
        </w:rPr>
        <w:t>Vallagarina</w:t>
      </w:r>
      <w:proofErr w:type="spellEnd"/>
      <w:r>
        <w:rPr>
          <w:rFonts w:cs="Helvetica"/>
        </w:rPr>
        <w:t>, alla</w:t>
      </w:r>
      <w:r w:rsidR="0088247A" w:rsidRPr="0088247A">
        <w:rPr>
          <w:rFonts w:cs="Helvetica"/>
        </w:rPr>
        <w:t xml:space="preserve"> cantina </w:t>
      </w:r>
      <w:proofErr w:type="spellStart"/>
      <w:r>
        <w:rPr>
          <w:rFonts w:cs="Helvetica"/>
        </w:rPr>
        <w:t>Vivallis</w:t>
      </w:r>
      <w:proofErr w:type="spellEnd"/>
      <w:r w:rsidR="0088247A" w:rsidRPr="0088247A">
        <w:rPr>
          <w:rFonts w:cs="Helvetica"/>
        </w:rPr>
        <w:t xml:space="preserve"> di Nogaredo (18 dicembre 2024), </w:t>
      </w:r>
      <w:r>
        <w:rPr>
          <w:rFonts w:cs="Helvetica"/>
        </w:rPr>
        <w:t>in Val di Sole, a Malé</w:t>
      </w:r>
      <w:r w:rsidR="00B6419D">
        <w:rPr>
          <w:rFonts w:cs="Helvetica"/>
        </w:rPr>
        <w:t>,</w:t>
      </w:r>
      <w:r>
        <w:rPr>
          <w:rFonts w:cs="Helvetica"/>
        </w:rPr>
        <w:t xml:space="preserve"> presso la sede della Comunità </w:t>
      </w:r>
      <w:r w:rsidR="00B6419D">
        <w:rPr>
          <w:rFonts w:cs="Helvetica"/>
        </w:rPr>
        <w:t xml:space="preserve">di Valle </w:t>
      </w:r>
      <w:r w:rsidR="0088247A" w:rsidRPr="0088247A">
        <w:rPr>
          <w:rFonts w:cs="Helvetica"/>
        </w:rPr>
        <w:t>(17 gennaio 2025)</w:t>
      </w:r>
      <w:r w:rsidR="00B6419D">
        <w:rPr>
          <w:rFonts w:cs="Helvetica"/>
        </w:rPr>
        <w:t>,</w:t>
      </w:r>
      <w:r w:rsidR="0088247A" w:rsidRPr="0088247A">
        <w:rPr>
          <w:rFonts w:cs="Helvetica"/>
        </w:rPr>
        <w:t xml:space="preserve"> e </w:t>
      </w:r>
      <w:r>
        <w:rPr>
          <w:rFonts w:cs="Helvetica"/>
        </w:rPr>
        <w:t>in Val di Fassa, a Cavalese, presso la sede del Comune (20 febbraio 2025).</w:t>
      </w:r>
    </w:p>
    <w:p w:rsidR="0088247A" w:rsidRDefault="0088247A" w:rsidP="005518CD">
      <w:pPr>
        <w:spacing w:after="120"/>
        <w:ind w:left="1276"/>
        <w:jc w:val="both"/>
        <w:rPr>
          <w:rFonts w:cs="Helvetica"/>
        </w:rPr>
      </w:pPr>
      <w:r w:rsidRPr="0088247A">
        <w:rPr>
          <w:rFonts w:cs="Helvetica"/>
        </w:rPr>
        <w:t xml:space="preserve">“Siamo </w:t>
      </w:r>
      <w:r>
        <w:rPr>
          <w:rFonts w:cs="Helvetica"/>
        </w:rPr>
        <w:t>grati alla Camera di C</w:t>
      </w:r>
      <w:r w:rsidRPr="0088247A">
        <w:rPr>
          <w:rFonts w:cs="Helvetica"/>
        </w:rPr>
        <w:t xml:space="preserve">ommercio </w:t>
      </w:r>
      <w:r>
        <w:rPr>
          <w:rFonts w:cs="Helvetica"/>
        </w:rPr>
        <w:t xml:space="preserve">– ha dichiarato il presidente del BIM, </w:t>
      </w:r>
      <w:r w:rsidRPr="00BF1088">
        <w:rPr>
          <w:rFonts w:cs="Helvetica"/>
          <w:b/>
        </w:rPr>
        <w:t>Michele Bontempelli</w:t>
      </w:r>
      <w:r>
        <w:rPr>
          <w:rFonts w:cs="Helvetica"/>
        </w:rPr>
        <w:t xml:space="preserve"> – per averci coinvolti</w:t>
      </w:r>
      <w:r w:rsidRPr="0088247A">
        <w:rPr>
          <w:rFonts w:cs="Helvetica"/>
        </w:rPr>
        <w:t xml:space="preserve"> in questo progetto. Il Consorzio negli ultimi anni ha dimostrato un forte impegno nell’ambito dell’energia rinn</w:t>
      </w:r>
      <w:r w:rsidR="00BC7A41">
        <w:rPr>
          <w:rFonts w:cs="Helvetica"/>
        </w:rPr>
        <w:t xml:space="preserve">ovabile, prima con il progetto </w:t>
      </w:r>
      <w:r w:rsidR="00BC7A41" w:rsidRPr="00BC7A41">
        <w:rPr>
          <w:rFonts w:cs="Helvetica"/>
          <w:i/>
        </w:rPr>
        <w:t>F</w:t>
      </w:r>
      <w:r w:rsidRPr="00BC7A41">
        <w:rPr>
          <w:rFonts w:cs="Helvetica"/>
          <w:i/>
        </w:rPr>
        <w:t>otovoltaico per le famiglie</w:t>
      </w:r>
      <w:r w:rsidRPr="0088247A">
        <w:rPr>
          <w:rFonts w:cs="Helvetica"/>
        </w:rPr>
        <w:t xml:space="preserve"> e oggi con quello </w:t>
      </w:r>
      <w:r>
        <w:rPr>
          <w:rFonts w:cs="Helvetica"/>
        </w:rPr>
        <w:t xml:space="preserve">dedicato alla </w:t>
      </w:r>
      <w:r w:rsidRPr="0088247A">
        <w:rPr>
          <w:rFonts w:cs="Helvetica"/>
        </w:rPr>
        <w:t>sostituzione degli impianti a biomassa legnosa. In questi mesi di progettazione degli eventi, abbi</w:t>
      </w:r>
      <w:r w:rsidR="00BC7A41">
        <w:rPr>
          <w:rFonts w:cs="Helvetica"/>
        </w:rPr>
        <w:t>amo condiviso con la Camera di C</w:t>
      </w:r>
      <w:r w:rsidRPr="0088247A">
        <w:rPr>
          <w:rFonts w:cs="Helvetica"/>
        </w:rPr>
        <w:t xml:space="preserve">ommercio un forte impegno e soprattutto la volontà di dare un contributo credibile al tema CER. Una sinergia, nata quasi per caso, ma che è maturata spontaneamente e con la nostra totale soddisfazione. Per noi questo progetto rappresenta un fondamentale passaggio per rafforzare un percorso di approfondimento del tema CER che da quasi </w:t>
      </w:r>
      <w:r w:rsidR="00BC7A41">
        <w:rPr>
          <w:rFonts w:cs="Helvetica"/>
        </w:rPr>
        <w:t>due</w:t>
      </w:r>
      <w:r w:rsidRPr="0088247A">
        <w:rPr>
          <w:rFonts w:cs="Helvetica"/>
        </w:rPr>
        <w:t xml:space="preserve"> a</w:t>
      </w:r>
      <w:r w:rsidR="00BC7A41">
        <w:rPr>
          <w:rFonts w:cs="Helvetica"/>
        </w:rPr>
        <w:t xml:space="preserve">nni stiamo seguendo. Come Consorzio siamo impegnati a </w:t>
      </w:r>
      <w:r w:rsidRPr="0088247A">
        <w:rPr>
          <w:rFonts w:cs="Helvetica"/>
        </w:rPr>
        <w:t xml:space="preserve">supportare i </w:t>
      </w:r>
      <w:r w:rsidR="00BC7A41">
        <w:rPr>
          <w:rFonts w:cs="Helvetica"/>
        </w:rPr>
        <w:t xml:space="preserve">nostri </w:t>
      </w:r>
      <w:r w:rsidRPr="0088247A">
        <w:rPr>
          <w:rFonts w:cs="Helvetica"/>
        </w:rPr>
        <w:t>Comuni che, come noi, vedono nelle CER lo strumento per una</w:t>
      </w:r>
      <w:r w:rsidR="00BC7A41">
        <w:rPr>
          <w:rFonts w:cs="Helvetica"/>
        </w:rPr>
        <w:t xml:space="preserve"> reale innovazione en</w:t>
      </w:r>
      <w:r w:rsidR="00941535">
        <w:rPr>
          <w:rFonts w:cs="Helvetica"/>
        </w:rPr>
        <w:t>e</w:t>
      </w:r>
      <w:r w:rsidR="00BC7A41">
        <w:rPr>
          <w:rFonts w:cs="Helvetica"/>
        </w:rPr>
        <w:t>rgetica”</w:t>
      </w:r>
    </w:p>
    <w:p w:rsidR="006F1DE9" w:rsidRDefault="00B6419D" w:rsidP="00383AD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Fra gli associati del BIM c’è un piccolo gruppo di comuni che ha già costituito una CER</w:t>
      </w:r>
      <w:r w:rsidR="00CF7F8C">
        <w:rPr>
          <w:rFonts w:cs="Helvetica"/>
        </w:rPr>
        <w:t>, mentre un</w:t>
      </w:r>
      <w:r>
        <w:rPr>
          <w:rFonts w:cs="Helvetica"/>
        </w:rPr>
        <w:t xml:space="preserve">a ventina circa sono quelli che si stanno preparando </w:t>
      </w:r>
      <w:r w:rsidR="00CF7F8C">
        <w:rPr>
          <w:rFonts w:cs="Helvetica"/>
        </w:rPr>
        <w:t>a farlo. “Sul tema CER il BIM ha già messo a disposizione circa 200mila euro di contributi” ha ricordato Bontempelli.</w:t>
      </w:r>
    </w:p>
    <w:p w:rsidR="00657DAF" w:rsidRDefault="00CF7F8C" w:rsidP="00383AD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lastRenderedPageBreak/>
        <w:t xml:space="preserve">“La collaborazione fra BIM e Camera di Commercio, quale ente di rappresentanza del mondo delle imprese – ha </w:t>
      </w:r>
      <w:r w:rsidR="00BF1088">
        <w:rPr>
          <w:rFonts w:cs="Helvetica"/>
        </w:rPr>
        <w:t>concluso</w:t>
      </w:r>
      <w:r>
        <w:rPr>
          <w:rFonts w:cs="Helvetica"/>
        </w:rPr>
        <w:t xml:space="preserve"> il presidente De </w:t>
      </w:r>
      <w:proofErr w:type="spellStart"/>
      <w:r>
        <w:rPr>
          <w:rFonts w:cs="Helvetica"/>
        </w:rPr>
        <w:t>Zordo</w:t>
      </w:r>
      <w:proofErr w:type="spellEnd"/>
      <w:r w:rsidR="00BF1088">
        <w:rPr>
          <w:rFonts w:cs="Helvetica"/>
        </w:rPr>
        <w:t xml:space="preserve"> -</w:t>
      </w:r>
      <w:r>
        <w:rPr>
          <w:rFonts w:cs="Helvetica"/>
        </w:rPr>
        <w:t xml:space="preserve"> rappresenta una sinergia strategica </w:t>
      </w:r>
      <w:r w:rsidR="00C8356C">
        <w:rPr>
          <w:rFonts w:cs="Helvetica"/>
        </w:rPr>
        <w:t>per fare del</w:t>
      </w:r>
      <w:r w:rsidR="00BF1088">
        <w:rPr>
          <w:rFonts w:cs="Helvetica"/>
        </w:rPr>
        <w:t xml:space="preserve"> modello delle comunità energetiche una soluzione efficiente e vantaggiosa sia in sede di produzione che di consumo per le nostre comunità”.</w:t>
      </w:r>
      <w:r>
        <w:rPr>
          <w:rFonts w:cs="Helvetica"/>
        </w:rPr>
        <w:t xml:space="preserve"> </w:t>
      </w:r>
    </w:p>
    <w:p w:rsidR="00657DAF" w:rsidRDefault="00657DAF" w:rsidP="00383ADE">
      <w:pPr>
        <w:spacing w:after="120"/>
        <w:ind w:left="1276"/>
        <w:jc w:val="both"/>
        <w:rPr>
          <w:rFonts w:cs="Helvetica"/>
        </w:rPr>
      </w:pPr>
    </w:p>
    <w:p w:rsidR="00657DAF" w:rsidRDefault="00657DAF" w:rsidP="00383AD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In allegato scheda sulle Comunità energetiche rinnovabili</w:t>
      </w:r>
    </w:p>
    <w:p w:rsidR="00657DAF" w:rsidRDefault="00657DAF" w:rsidP="00383AD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Foto Daniele </w:t>
      </w:r>
      <w:proofErr w:type="spellStart"/>
      <w:r>
        <w:rPr>
          <w:rFonts w:cs="Helvetica"/>
        </w:rPr>
        <w:t>Mosna</w:t>
      </w:r>
      <w:proofErr w:type="spellEnd"/>
    </w:p>
    <w:p w:rsidR="00C8356C" w:rsidRDefault="00C8356C" w:rsidP="00F450BB">
      <w:pPr>
        <w:spacing w:after="120"/>
        <w:ind w:left="1276"/>
        <w:jc w:val="right"/>
        <w:rPr>
          <w:rFonts w:cs="Helvetica"/>
        </w:rPr>
      </w:pPr>
    </w:p>
    <w:p w:rsidR="00C22FAA" w:rsidRPr="00C23525" w:rsidRDefault="00F450BB" w:rsidP="00F450BB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88" w:rsidRDefault="00BF1088">
      <w:r>
        <w:separator/>
      </w:r>
    </w:p>
  </w:endnote>
  <w:endnote w:type="continuationSeparator" w:id="0">
    <w:p w:rsidR="00BF1088" w:rsidRDefault="00B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88" w:rsidRPr="007C29A7" w:rsidRDefault="00BF108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F1088" w:rsidRPr="003F1A52" w:rsidRDefault="00BF108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F1088" w:rsidRDefault="00BF108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F1088" w:rsidRPr="003F1A52" w:rsidRDefault="00BF1088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BF1088" w:rsidRDefault="00BF1088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BF1088" w:rsidRDefault="00BF108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BF1088" w:rsidRPr="003F1A52" w:rsidRDefault="00BF108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88" w:rsidRPr="007C29A7" w:rsidRDefault="00BF108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BF1088" w:rsidRPr="003F1A52" w:rsidRDefault="00BF108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BF1088" w:rsidRDefault="00BF108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BF1088" w:rsidRPr="003F1A52" w:rsidRDefault="00BF108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BF1088" w:rsidRDefault="00BF108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BF1088" w:rsidRDefault="00BF1088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BF1088" w:rsidRPr="003F1A52" w:rsidRDefault="00BF1088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88" w:rsidRDefault="00BF1088">
      <w:r>
        <w:separator/>
      </w:r>
    </w:p>
  </w:footnote>
  <w:footnote w:type="continuationSeparator" w:id="0">
    <w:p w:rsidR="00BF1088" w:rsidRDefault="00BF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88" w:rsidRDefault="00BF1088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55321" cy="9719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19" cy="98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1088" w:rsidRDefault="00BF1088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6257"/>
    <w:rsid w:val="0005662F"/>
    <w:rsid w:val="000662B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D17FE"/>
    <w:rsid w:val="000E3A0F"/>
    <w:rsid w:val="000E58E6"/>
    <w:rsid w:val="000F723C"/>
    <w:rsid w:val="000F7A8F"/>
    <w:rsid w:val="00102F75"/>
    <w:rsid w:val="0010382B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972F6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0A71"/>
    <w:rsid w:val="002F1B92"/>
    <w:rsid w:val="002F626F"/>
    <w:rsid w:val="002F7403"/>
    <w:rsid w:val="00302C76"/>
    <w:rsid w:val="003142EC"/>
    <w:rsid w:val="003212E5"/>
    <w:rsid w:val="003228AE"/>
    <w:rsid w:val="00324685"/>
    <w:rsid w:val="00324D13"/>
    <w:rsid w:val="0032681E"/>
    <w:rsid w:val="00327AD2"/>
    <w:rsid w:val="00331B77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3BF9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18CD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C5DF3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57DAF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62F"/>
    <w:rsid w:val="006F0AFA"/>
    <w:rsid w:val="006F0BB4"/>
    <w:rsid w:val="006F1DE9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2DDF"/>
    <w:rsid w:val="008076F3"/>
    <w:rsid w:val="00813390"/>
    <w:rsid w:val="00815F1C"/>
    <w:rsid w:val="008253A4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4A66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17952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58DA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E62A3"/>
    <w:rsid w:val="00BF1088"/>
    <w:rsid w:val="00BF1B9E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26F2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B31E5"/>
    <w:rsid w:val="00FB3777"/>
    <w:rsid w:val="00FB3B45"/>
    <w:rsid w:val="00FB3B8C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6A827F2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4B8B-4F11-45FD-97E7-053A1B14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765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5151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12</cp:revision>
  <cp:lastPrinted>2018-06-19T09:49:00Z</cp:lastPrinted>
  <dcterms:created xsi:type="dcterms:W3CDTF">2024-11-21T14:33:00Z</dcterms:created>
  <dcterms:modified xsi:type="dcterms:W3CDTF">2024-11-25T16:11:00Z</dcterms:modified>
</cp:coreProperties>
</file>