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62E9C" w:rsidRDefault="00F62E9C" w:rsidP="00DD1EAE">
      <w:pPr>
        <w:ind w:left="1276"/>
      </w:pPr>
    </w:p>
    <w:p w:rsidR="00B12D2D" w:rsidRDefault="00A2726C" w:rsidP="00DD1EAE">
      <w:pPr>
        <w:ind w:left="1276"/>
      </w:pPr>
      <w:r>
        <w:t>L’INDAGINE DELL’UFFICIO STUDI E RICERCHE</w:t>
      </w:r>
    </w:p>
    <w:p w:rsidR="00B33D60" w:rsidRPr="00514987" w:rsidRDefault="00B33D60" w:rsidP="00DD1EAE">
      <w:pPr>
        <w:ind w:left="1276"/>
      </w:pPr>
    </w:p>
    <w:p w:rsidR="00AF44C0" w:rsidRDefault="00E95D97" w:rsidP="00AF44C0">
      <w:pPr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ECONOMIA TRENTINA IN RIPRESA, SUPERATI I LIVELLI PRE-CRISI</w:t>
      </w:r>
    </w:p>
    <w:p w:rsidR="00F62E9C" w:rsidRPr="00F62E9C" w:rsidRDefault="00F62E9C" w:rsidP="001E6740">
      <w:pPr>
        <w:ind w:left="1276"/>
        <w:rPr>
          <w:b/>
          <w:sz w:val="28"/>
          <w:szCs w:val="28"/>
        </w:rPr>
      </w:pPr>
    </w:p>
    <w:p w:rsidR="006229B7" w:rsidRDefault="00FF7398" w:rsidP="00FF7398">
      <w:pPr>
        <w:ind w:left="1276" w:right="84"/>
      </w:pPr>
      <w:r>
        <w:t>UNA D</w:t>
      </w:r>
      <w:r w:rsidR="00E95D97">
        <w:t xml:space="preserve">INAMICA POSITIVA </w:t>
      </w:r>
      <w:r>
        <w:t>SOSTENUTA DA UN FATTURATO IN DECISA CRESCITA (+</w:t>
      </w:r>
      <w:r w:rsidR="0071360F">
        <w:t>12</w:t>
      </w:r>
      <w:r>
        <w:t>,8%)</w:t>
      </w:r>
    </w:p>
    <w:p w:rsidR="00C20EAC" w:rsidRDefault="00C20EAC" w:rsidP="00514987">
      <w:pPr>
        <w:ind w:left="1276"/>
      </w:pPr>
    </w:p>
    <w:p w:rsidR="00B00E52" w:rsidRDefault="00B00E52" w:rsidP="00514987">
      <w:pPr>
        <w:ind w:left="1276"/>
      </w:pPr>
    </w:p>
    <w:p w:rsidR="00A2726C" w:rsidRDefault="00A2726C" w:rsidP="00FA65C8">
      <w:pPr>
        <w:ind w:left="1276"/>
        <w:rPr>
          <w:bCs/>
        </w:rPr>
      </w:pPr>
      <w:r w:rsidRPr="00A2726C">
        <w:rPr>
          <w:bCs/>
        </w:rPr>
        <w:t>La dinamica congiunturale</w:t>
      </w:r>
      <w:r w:rsidR="00E95D97">
        <w:rPr>
          <w:bCs/>
        </w:rPr>
        <w:t>,</w:t>
      </w:r>
      <w:r w:rsidR="006C07FD">
        <w:rPr>
          <w:bCs/>
        </w:rPr>
        <w:t xml:space="preserve"> rilevata nel</w:t>
      </w:r>
      <w:r w:rsidRPr="00A2726C">
        <w:rPr>
          <w:bCs/>
        </w:rPr>
        <w:t xml:space="preserve"> terzo trimestre </w:t>
      </w:r>
      <w:r>
        <w:rPr>
          <w:bCs/>
        </w:rPr>
        <w:t>di quest’anno</w:t>
      </w:r>
      <w:r w:rsidR="006C07FD">
        <w:rPr>
          <w:bCs/>
        </w:rPr>
        <w:t xml:space="preserve"> dall’Ufficio studi e ricerche dell</w:t>
      </w:r>
      <w:r w:rsidR="00E95D97">
        <w:rPr>
          <w:bCs/>
        </w:rPr>
        <w:t xml:space="preserve">a Camera di Commercio di Trento, </w:t>
      </w:r>
      <w:r w:rsidRPr="00A2726C">
        <w:rPr>
          <w:bCs/>
        </w:rPr>
        <w:t xml:space="preserve">riveste particolare importanza </w:t>
      </w:r>
      <w:r w:rsidR="006C07FD">
        <w:rPr>
          <w:bCs/>
        </w:rPr>
        <w:t>perché, se paragonata allo stesso periodo del 2020, interessato da un andamento solo parzialmente influenzato dall’emergenza Covid-19,</w:t>
      </w:r>
      <w:r w:rsidR="00E95D97">
        <w:rPr>
          <w:bCs/>
        </w:rPr>
        <w:t xml:space="preserve"> registra</w:t>
      </w:r>
      <w:r w:rsidR="006C07FD">
        <w:rPr>
          <w:bCs/>
        </w:rPr>
        <w:t xml:space="preserve"> un </w:t>
      </w:r>
      <w:r w:rsidRPr="00A2726C">
        <w:rPr>
          <w:bCs/>
        </w:rPr>
        <w:t>recupero decisamente intenso e tale da superare abbondantemente anche i livelli pre-crisi</w:t>
      </w:r>
      <w:r w:rsidR="007C17C9">
        <w:rPr>
          <w:bCs/>
        </w:rPr>
        <w:t>.</w:t>
      </w:r>
    </w:p>
    <w:p w:rsidR="007C17C9" w:rsidRDefault="007C17C9" w:rsidP="00FA65C8">
      <w:pPr>
        <w:ind w:left="1276"/>
        <w:rPr>
          <w:bCs/>
        </w:rPr>
      </w:pPr>
    </w:p>
    <w:p w:rsidR="007C17C9" w:rsidRDefault="007C17C9" w:rsidP="00FA65C8">
      <w:pPr>
        <w:ind w:left="1276"/>
        <w:rPr>
          <w:bCs/>
        </w:rPr>
      </w:pPr>
      <w:r>
        <w:rPr>
          <w:bCs/>
        </w:rPr>
        <w:t>Il</w:t>
      </w:r>
      <w:r w:rsidR="00A2726C" w:rsidRPr="00A2726C">
        <w:rPr>
          <w:bCs/>
        </w:rPr>
        <w:t xml:space="preserve"> </w:t>
      </w:r>
      <w:r w:rsidR="00A2726C" w:rsidRPr="007C17C9">
        <w:rPr>
          <w:b/>
          <w:bCs/>
        </w:rPr>
        <w:t>fatturato complessivo</w:t>
      </w:r>
      <w:r w:rsidR="00A2726C" w:rsidRPr="00A2726C">
        <w:rPr>
          <w:bCs/>
        </w:rPr>
        <w:t xml:space="preserve"> realizzato dalle imprese esaminate nell’indagine</w:t>
      </w:r>
      <w:r>
        <w:rPr>
          <w:bCs/>
        </w:rPr>
        <w:t xml:space="preserve"> trimestrale</w:t>
      </w:r>
      <w:r w:rsidR="00A2726C" w:rsidRPr="00A2726C">
        <w:rPr>
          <w:bCs/>
        </w:rPr>
        <w:t xml:space="preserve"> aumenta del 12,8% rispetto allo stesso periodo dell’anno </w:t>
      </w:r>
      <w:r w:rsidR="00FF7398">
        <w:rPr>
          <w:bCs/>
        </w:rPr>
        <w:t>scorso</w:t>
      </w:r>
      <w:r w:rsidR="00A2726C" w:rsidRPr="00A2726C">
        <w:rPr>
          <w:bCs/>
        </w:rPr>
        <w:t xml:space="preserve">, confermando la fase di </w:t>
      </w:r>
      <w:r w:rsidR="0071360F">
        <w:rPr>
          <w:bCs/>
        </w:rPr>
        <w:t>sensibile ripresa</w:t>
      </w:r>
      <w:r w:rsidR="00A2726C" w:rsidRPr="00A2726C">
        <w:rPr>
          <w:bCs/>
        </w:rPr>
        <w:t xml:space="preserve">. </w:t>
      </w:r>
      <w:r w:rsidRPr="00A2726C">
        <w:rPr>
          <w:bCs/>
        </w:rPr>
        <w:t xml:space="preserve">Tutti i settori si caratterizzano per una variazione decisamente positiva del fatturato su base tendenziale, con il </w:t>
      </w:r>
      <w:r w:rsidRPr="007C17C9">
        <w:rPr>
          <w:b/>
          <w:bCs/>
        </w:rPr>
        <w:t>manifatturiero</w:t>
      </w:r>
      <w:r w:rsidRPr="00A2726C">
        <w:rPr>
          <w:bCs/>
        </w:rPr>
        <w:t xml:space="preserve"> che si </w:t>
      </w:r>
      <w:r>
        <w:rPr>
          <w:bCs/>
        </w:rPr>
        <w:t>distingue</w:t>
      </w:r>
      <w:r w:rsidRPr="00A2726C">
        <w:rPr>
          <w:bCs/>
        </w:rPr>
        <w:t xml:space="preserve"> per l’andamento più favorevole (+16,7%) e il </w:t>
      </w:r>
      <w:r w:rsidRPr="007C17C9">
        <w:rPr>
          <w:b/>
          <w:bCs/>
        </w:rPr>
        <w:t>commercio al dettaglio</w:t>
      </w:r>
      <w:r w:rsidRPr="00A2726C">
        <w:rPr>
          <w:bCs/>
        </w:rPr>
        <w:t xml:space="preserve"> per </w:t>
      </w:r>
      <w:r w:rsidR="00FF7398">
        <w:rPr>
          <w:bCs/>
        </w:rPr>
        <w:t xml:space="preserve">essere </w:t>
      </w:r>
      <w:r w:rsidRPr="00A2726C">
        <w:rPr>
          <w:bCs/>
        </w:rPr>
        <w:t>quello meno</w:t>
      </w:r>
      <w:r w:rsidR="00FF7398">
        <w:rPr>
          <w:bCs/>
        </w:rPr>
        <w:t xml:space="preserve"> consistente</w:t>
      </w:r>
      <w:r>
        <w:rPr>
          <w:bCs/>
        </w:rPr>
        <w:t>, pur mantenendosi su valori positivi</w:t>
      </w:r>
      <w:r w:rsidRPr="00A2726C">
        <w:rPr>
          <w:bCs/>
        </w:rPr>
        <w:t xml:space="preserve"> (+5,0%).</w:t>
      </w:r>
      <w:r>
        <w:rPr>
          <w:bCs/>
        </w:rPr>
        <w:t xml:space="preserve"> Tra i due estremi si collocano </w:t>
      </w:r>
      <w:r w:rsidR="007C674E">
        <w:rPr>
          <w:bCs/>
        </w:rPr>
        <w:t xml:space="preserve">i </w:t>
      </w:r>
      <w:r w:rsidR="007C674E" w:rsidRPr="007C674E">
        <w:rPr>
          <w:b/>
          <w:bCs/>
        </w:rPr>
        <w:t>servizi alle imprese e terziario avanzato</w:t>
      </w:r>
      <w:r w:rsidR="002161EE">
        <w:rPr>
          <w:bCs/>
        </w:rPr>
        <w:t xml:space="preserve"> (+16,4</w:t>
      </w:r>
      <w:r w:rsidR="00FF7398">
        <w:rPr>
          <w:bCs/>
        </w:rPr>
        <w:t>)</w:t>
      </w:r>
      <w:r w:rsidR="002161EE">
        <w:rPr>
          <w:bCs/>
        </w:rPr>
        <w:t>;</w:t>
      </w:r>
      <w:r w:rsidR="007C674E">
        <w:rPr>
          <w:bCs/>
        </w:rPr>
        <w:t xml:space="preserve"> </w:t>
      </w:r>
      <w:r>
        <w:rPr>
          <w:bCs/>
        </w:rPr>
        <w:t xml:space="preserve">le </w:t>
      </w:r>
      <w:r w:rsidRPr="007C674E">
        <w:rPr>
          <w:b/>
          <w:bCs/>
        </w:rPr>
        <w:t>costruzioni</w:t>
      </w:r>
      <w:r>
        <w:rPr>
          <w:bCs/>
        </w:rPr>
        <w:t xml:space="preserve"> (</w:t>
      </w:r>
      <w:r w:rsidR="007C674E">
        <w:rPr>
          <w:bCs/>
        </w:rPr>
        <w:t xml:space="preserve">+12,5%), comparto sostenuto dalle misure di supporto nazionale come il </w:t>
      </w:r>
      <w:proofErr w:type="spellStart"/>
      <w:r w:rsidR="007C674E">
        <w:rPr>
          <w:bCs/>
        </w:rPr>
        <w:t>superbonus</w:t>
      </w:r>
      <w:proofErr w:type="spellEnd"/>
      <w:r w:rsidR="007C674E">
        <w:rPr>
          <w:bCs/>
        </w:rPr>
        <w:t xml:space="preserve"> e l’</w:t>
      </w:r>
      <w:proofErr w:type="spellStart"/>
      <w:r w:rsidR="007C674E">
        <w:rPr>
          <w:bCs/>
        </w:rPr>
        <w:t>ecobonus</w:t>
      </w:r>
      <w:proofErr w:type="spellEnd"/>
      <w:r w:rsidR="007C674E">
        <w:rPr>
          <w:bCs/>
        </w:rPr>
        <w:t xml:space="preserve">; il </w:t>
      </w:r>
      <w:r w:rsidR="007C674E" w:rsidRPr="002161EE">
        <w:rPr>
          <w:b/>
          <w:bCs/>
        </w:rPr>
        <w:t>commercio all’ingrosso</w:t>
      </w:r>
      <w:r w:rsidR="007C674E">
        <w:rPr>
          <w:bCs/>
        </w:rPr>
        <w:t xml:space="preserve"> (+12,3</w:t>
      </w:r>
      <w:r w:rsidR="0071360F">
        <w:rPr>
          <w:bCs/>
        </w:rPr>
        <w:t>)</w:t>
      </w:r>
      <w:r w:rsidR="002161EE">
        <w:rPr>
          <w:bCs/>
        </w:rPr>
        <w:t xml:space="preserve">; i </w:t>
      </w:r>
      <w:r w:rsidR="002161EE" w:rsidRPr="002161EE">
        <w:rPr>
          <w:b/>
          <w:bCs/>
        </w:rPr>
        <w:t>trasporti</w:t>
      </w:r>
      <w:r w:rsidR="002161EE">
        <w:rPr>
          <w:bCs/>
        </w:rPr>
        <w:t xml:space="preserve"> (+11,1%)</w:t>
      </w:r>
      <w:r w:rsidR="00633976">
        <w:rPr>
          <w:bCs/>
        </w:rPr>
        <w:t xml:space="preserve">, che registrano una ripresa </w:t>
      </w:r>
      <w:r w:rsidR="00FF7398">
        <w:rPr>
          <w:bCs/>
        </w:rPr>
        <w:t>rilevante</w:t>
      </w:r>
      <w:r w:rsidR="00633976">
        <w:rPr>
          <w:bCs/>
        </w:rPr>
        <w:t xml:space="preserve"> grazie al recupero generalizzato di tutte le </w:t>
      </w:r>
      <w:r w:rsidR="00FF7398">
        <w:rPr>
          <w:bCs/>
        </w:rPr>
        <w:t xml:space="preserve">altre </w:t>
      </w:r>
      <w:r w:rsidR="00633976">
        <w:rPr>
          <w:bCs/>
        </w:rPr>
        <w:t>attività economiche.</w:t>
      </w:r>
      <w:r w:rsidR="002161EE">
        <w:rPr>
          <w:bCs/>
        </w:rPr>
        <w:t xml:space="preserve"> </w:t>
      </w:r>
    </w:p>
    <w:p w:rsidR="007C17C9" w:rsidRDefault="007C17C9" w:rsidP="00FA65C8">
      <w:pPr>
        <w:ind w:left="1276"/>
        <w:rPr>
          <w:bCs/>
        </w:rPr>
      </w:pPr>
    </w:p>
    <w:p w:rsidR="00633976" w:rsidRDefault="00633976" w:rsidP="00FA65C8">
      <w:pPr>
        <w:ind w:left="1276"/>
        <w:rPr>
          <w:bCs/>
        </w:rPr>
      </w:pPr>
      <w:r w:rsidRPr="00633976">
        <w:rPr>
          <w:bCs/>
        </w:rPr>
        <w:t xml:space="preserve">La </w:t>
      </w:r>
      <w:r w:rsidRPr="00633976">
        <w:rPr>
          <w:b/>
          <w:bCs/>
        </w:rPr>
        <w:t>domanda</w:t>
      </w:r>
      <w:r w:rsidRPr="00633976">
        <w:rPr>
          <w:bCs/>
        </w:rPr>
        <w:t xml:space="preserve"> continua a essere sostenut</w:t>
      </w:r>
      <w:r>
        <w:rPr>
          <w:bCs/>
        </w:rPr>
        <w:t xml:space="preserve">a in tutte le sue </w:t>
      </w:r>
      <w:r w:rsidR="0071360F">
        <w:rPr>
          <w:bCs/>
        </w:rPr>
        <w:t>componenti</w:t>
      </w:r>
      <w:r>
        <w:rPr>
          <w:bCs/>
        </w:rPr>
        <w:t>,</w:t>
      </w:r>
      <w:r w:rsidRPr="00633976">
        <w:rPr>
          <w:bCs/>
        </w:rPr>
        <w:t xml:space="preserve"> locale (+9,9%), nazionale (+15,1%) ed estera (17,6%)</w:t>
      </w:r>
      <w:r>
        <w:rPr>
          <w:bCs/>
        </w:rPr>
        <w:t xml:space="preserve">, e anche le </w:t>
      </w:r>
      <w:r w:rsidRPr="00633976">
        <w:rPr>
          <w:b/>
          <w:bCs/>
        </w:rPr>
        <w:t>esportazioni</w:t>
      </w:r>
      <w:r>
        <w:rPr>
          <w:bCs/>
        </w:rPr>
        <w:t xml:space="preserve"> evidenziano un</w:t>
      </w:r>
      <w:r w:rsidR="00A2726C" w:rsidRPr="00A2726C">
        <w:rPr>
          <w:bCs/>
        </w:rPr>
        <w:t>a ripresa particolarmente significativa, con una variazione positiva su base annua del 17,6%.</w:t>
      </w:r>
    </w:p>
    <w:p w:rsidR="00633976" w:rsidRDefault="00633976" w:rsidP="00FA65C8">
      <w:pPr>
        <w:ind w:left="1276"/>
        <w:rPr>
          <w:bCs/>
        </w:rPr>
      </w:pPr>
    </w:p>
    <w:p w:rsidR="00633976" w:rsidRDefault="00A2726C" w:rsidP="00FA65C8">
      <w:pPr>
        <w:ind w:left="1276"/>
        <w:rPr>
          <w:bCs/>
        </w:rPr>
      </w:pPr>
      <w:r w:rsidRPr="00A2726C">
        <w:rPr>
          <w:bCs/>
        </w:rPr>
        <w:t>L’</w:t>
      </w:r>
      <w:r w:rsidRPr="00633976">
        <w:rPr>
          <w:b/>
          <w:bCs/>
        </w:rPr>
        <w:t>occupazione</w:t>
      </w:r>
      <w:r w:rsidRPr="00A2726C">
        <w:rPr>
          <w:bCs/>
        </w:rPr>
        <w:t>, in linea con il precedente trimestre, evidenzia una crescita moderata (+2,6%). Le variazioni positive più marcate si rilevano nei settori dei servizi alle imprese e del manifatturiero. Si riduc</w:t>
      </w:r>
      <w:r w:rsidR="00633976">
        <w:rPr>
          <w:bCs/>
        </w:rPr>
        <w:t>e</w:t>
      </w:r>
      <w:r w:rsidRPr="00A2726C">
        <w:rPr>
          <w:bCs/>
        </w:rPr>
        <w:t xml:space="preserve">, invece, </w:t>
      </w:r>
      <w:r w:rsidR="00633976" w:rsidRPr="00A2726C">
        <w:rPr>
          <w:bCs/>
        </w:rPr>
        <w:t xml:space="preserve">leggermente </w:t>
      </w:r>
      <w:r w:rsidR="00633976">
        <w:rPr>
          <w:bCs/>
        </w:rPr>
        <w:t>il numero de</w:t>
      </w:r>
      <w:r w:rsidRPr="00A2726C">
        <w:rPr>
          <w:bCs/>
        </w:rPr>
        <w:t>gli addetti del</w:t>
      </w:r>
      <w:r w:rsidR="00633976">
        <w:rPr>
          <w:bCs/>
        </w:rPr>
        <w:t xml:space="preserve"> comparto </w:t>
      </w:r>
      <w:r w:rsidR="00FF7398">
        <w:rPr>
          <w:bCs/>
        </w:rPr>
        <w:t xml:space="preserve">delle </w:t>
      </w:r>
      <w:r w:rsidRPr="00A2726C">
        <w:rPr>
          <w:bCs/>
        </w:rPr>
        <w:t xml:space="preserve">costruzioni (-1,3%). </w:t>
      </w:r>
    </w:p>
    <w:p w:rsidR="00633976" w:rsidRDefault="00A2726C" w:rsidP="00FA65C8">
      <w:pPr>
        <w:ind w:left="1276"/>
        <w:rPr>
          <w:bCs/>
        </w:rPr>
      </w:pPr>
      <w:r w:rsidRPr="00A2726C">
        <w:rPr>
          <w:bCs/>
        </w:rPr>
        <w:lastRenderedPageBreak/>
        <w:t xml:space="preserve">L’andamento occupazionale presso le unità di più piccola dimensione (fino a 10 addetti) è </w:t>
      </w:r>
      <w:r w:rsidR="00633976">
        <w:rPr>
          <w:bCs/>
        </w:rPr>
        <w:t>fondamentalmente</w:t>
      </w:r>
      <w:r w:rsidRPr="00A2726C">
        <w:rPr>
          <w:bCs/>
        </w:rPr>
        <w:t xml:space="preserve"> stabile (+0,5%), mentre risulta in crescita tra le medie (tra 11 e 50) e le grandi imprese (oltre 50), con aumenti pari</w:t>
      </w:r>
      <w:r w:rsidR="00633976">
        <w:rPr>
          <w:bCs/>
        </w:rPr>
        <w:t>,</w:t>
      </w:r>
      <w:r w:rsidRPr="00A2726C">
        <w:rPr>
          <w:bCs/>
        </w:rPr>
        <w:t xml:space="preserve"> rispettivamente</w:t>
      </w:r>
      <w:r w:rsidR="00633976">
        <w:rPr>
          <w:bCs/>
        </w:rPr>
        <w:t>, a +3,9% e a +3,6%.</w:t>
      </w:r>
    </w:p>
    <w:p w:rsidR="00633976" w:rsidRDefault="00633976" w:rsidP="00FA65C8">
      <w:pPr>
        <w:ind w:left="1276"/>
        <w:rPr>
          <w:bCs/>
        </w:rPr>
      </w:pPr>
    </w:p>
    <w:p w:rsidR="00633976" w:rsidRDefault="00A2726C" w:rsidP="00FA65C8">
      <w:pPr>
        <w:ind w:left="1276"/>
        <w:rPr>
          <w:bCs/>
        </w:rPr>
      </w:pPr>
      <w:r w:rsidRPr="00A2726C">
        <w:rPr>
          <w:bCs/>
        </w:rPr>
        <w:t xml:space="preserve">Gli </w:t>
      </w:r>
      <w:r w:rsidRPr="00633976">
        <w:rPr>
          <w:b/>
          <w:bCs/>
        </w:rPr>
        <w:t>ordinativi</w:t>
      </w:r>
      <w:r w:rsidRPr="00A2726C">
        <w:rPr>
          <w:bCs/>
        </w:rPr>
        <w:t xml:space="preserve"> continuano a </w:t>
      </w:r>
      <w:r w:rsidR="003F678A">
        <w:rPr>
          <w:bCs/>
        </w:rPr>
        <w:t>crescere a ritmo sostenuto</w:t>
      </w:r>
      <w:r w:rsidRPr="00A2726C">
        <w:rPr>
          <w:bCs/>
        </w:rPr>
        <w:t xml:space="preserve"> (+40,3%), </w:t>
      </w:r>
      <w:r w:rsidR="003F678A">
        <w:rPr>
          <w:bCs/>
        </w:rPr>
        <w:t>interessando</w:t>
      </w:r>
      <w:r w:rsidRPr="00A2726C">
        <w:rPr>
          <w:bCs/>
        </w:rPr>
        <w:t xml:space="preserve"> trasversalmente tutti i settori e</w:t>
      </w:r>
      <w:r w:rsidR="00633976">
        <w:rPr>
          <w:bCs/>
        </w:rPr>
        <w:t>,</w:t>
      </w:r>
      <w:r w:rsidRPr="00A2726C">
        <w:rPr>
          <w:bCs/>
        </w:rPr>
        <w:t xml:space="preserve"> in particolar modo</w:t>
      </w:r>
      <w:r w:rsidR="00633976">
        <w:rPr>
          <w:bCs/>
        </w:rPr>
        <w:t>,</w:t>
      </w:r>
      <w:r w:rsidRPr="00A2726C">
        <w:rPr>
          <w:bCs/>
        </w:rPr>
        <w:t xml:space="preserve"> il commercio all’ingrosso e il manifatturiero. </w:t>
      </w:r>
    </w:p>
    <w:p w:rsidR="00633976" w:rsidRDefault="00633976" w:rsidP="00FA65C8">
      <w:pPr>
        <w:ind w:left="1276"/>
        <w:rPr>
          <w:bCs/>
        </w:rPr>
      </w:pPr>
    </w:p>
    <w:p w:rsidR="00A2726C" w:rsidRDefault="00A2726C" w:rsidP="00FA65C8">
      <w:pPr>
        <w:ind w:left="1276"/>
        <w:rPr>
          <w:bCs/>
        </w:rPr>
      </w:pPr>
      <w:r w:rsidRPr="00A2726C">
        <w:rPr>
          <w:bCs/>
        </w:rPr>
        <w:t xml:space="preserve">I </w:t>
      </w:r>
      <w:r w:rsidRPr="00633976">
        <w:rPr>
          <w:b/>
          <w:bCs/>
        </w:rPr>
        <w:t>giudizi degli imprenditori</w:t>
      </w:r>
      <w:r w:rsidRPr="00A2726C">
        <w:rPr>
          <w:bCs/>
        </w:rPr>
        <w:t xml:space="preserve"> sulla redditività e sulla situazione economica dell’azienda</w:t>
      </w:r>
      <w:r w:rsidR="00633976" w:rsidRPr="00633976">
        <w:rPr>
          <w:bCs/>
        </w:rPr>
        <w:t>,</w:t>
      </w:r>
      <w:r w:rsidR="00633976">
        <w:rPr>
          <w:bCs/>
        </w:rPr>
        <w:t xml:space="preserve"> </w:t>
      </w:r>
      <w:r w:rsidR="00633976" w:rsidRPr="00633976">
        <w:rPr>
          <w:bCs/>
        </w:rPr>
        <w:t>pur evidenziando delle oscillazioni notevoli tra settori, riflett</w:t>
      </w:r>
      <w:r w:rsidR="005E0D91">
        <w:rPr>
          <w:bCs/>
        </w:rPr>
        <w:t>ono</w:t>
      </w:r>
      <w:r w:rsidR="00633976" w:rsidRPr="00633976">
        <w:rPr>
          <w:bCs/>
        </w:rPr>
        <w:t xml:space="preserve"> il sensibile miglioramento</w:t>
      </w:r>
      <w:r w:rsidR="00633976">
        <w:rPr>
          <w:bCs/>
        </w:rPr>
        <w:t xml:space="preserve"> </w:t>
      </w:r>
      <w:r w:rsidR="00633976" w:rsidRPr="00633976">
        <w:rPr>
          <w:bCs/>
        </w:rPr>
        <w:t>della situazione economica complessiva</w:t>
      </w:r>
      <w:r w:rsidR="005E0D91">
        <w:rPr>
          <w:bCs/>
        </w:rPr>
        <w:t xml:space="preserve"> e,</w:t>
      </w:r>
      <w:r w:rsidR="003F678A">
        <w:rPr>
          <w:bCs/>
        </w:rPr>
        <w:t xml:space="preserve"> in termini prospettici</w:t>
      </w:r>
      <w:r w:rsidR="005D3682">
        <w:rPr>
          <w:bCs/>
        </w:rPr>
        <w:t xml:space="preserve"> (</w:t>
      </w:r>
      <w:r w:rsidR="003F678A">
        <w:rPr>
          <w:bCs/>
        </w:rPr>
        <w:t>di qui</w:t>
      </w:r>
      <w:r w:rsidR="005E0D91">
        <w:rPr>
          <w:bCs/>
        </w:rPr>
        <w:t xml:space="preserve"> </w:t>
      </w:r>
      <w:r w:rsidR="003F678A">
        <w:rPr>
          <w:bCs/>
        </w:rPr>
        <w:t>a un anno</w:t>
      </w:r>
      <w:r w:rsidR="005D3682">
        <w:rPr>
          <w:bCs/>
        </w:rPr>
        <w:t>),</w:t>
      </w:r>
      <w:r w:rsidR="003F678A">
        <w:rPr>
          <w:bCs/>
        </w:rPr>
        <w:t xml:space="preserve"> </w:t>
      </w:r>
      <w:r w:rsidR="005E0D91">
        <w:rPr>
          <w:bCs/>
        </w:rPr>
        <w:t>esprimono ottimismo</w:t>
      </w:r>
      <w:r w:rsidR="005D3682">
        <w:rPr>
          <w:bCs/>
        </w:rPr>
        <w:t>,</w:t>
      </w:r>
      <w:r w:rsidR="005E0D91">
        <w:rPr>
          <w:bCs/>
        </w:rPr>
        <w:t xml:space="preserve"> nonostante l</w:t>
      </w:r>
      <w:r w:rsidR="0071360F">
        <w:rPr>
          <w:bCs/>
        </w:rPr>
        <w:t>e</w:t>
      </w:r>
      <w:r w:rsidR="005E0D91">
        <w:rPr>
          <w:bCs/>
        </w:rPr>
        <w:t xml:space="preserve"> preoccupazion</w:t>
      </w:r>
      <w:r w:rsidR="0071360F">
        <w:rPr>
          <w:bCs/>
        </w:rPr>
        <w:t>i</w:t>
      </w:r>
      <w:r w:rsidR="005E0D91">
        <w:rPr>
          <w:bCs/>
        </w:rPr>
        <w:t xml:space="preserve"> </w:t>
      </w:r>
      <w:r w:rsidR="0071360F">
        <w:rPr>
          <w:bCs/>
        </w:rPr>
        <w:t>legate a una possibile ripresa dei contagi e alle tensioni inflazionistiche</w:t>
      </w:r>
      <w:r w:rsidR="005E0D91">
        <w:rPr>
          <w:bCs/>
        </w:rPr>
        <w:t>.</w:t>
      </w:r>
    </w:p>
    <w:p w:rsidR="00633976" w:rsidRDefault="00633976" w:rsidP="00FA65C8">
      <w:pPr>
        <w:ind w:left="1276"/>
        <w:rPr>
          <w:bCs/>
        </w:rPr>
      </w:pPr>
    </w:p>
    <w:p w:rsidR="002623C5" w:rsidRDefault="002623C5" w:rsidP="00853FDB">
      <w:pPr>
        <w:ind w:left="1276"/>
        <w:rPr>
          <w:bCs/>
        </w:rPr>
      </w:pPr>
      <w:r>
        <w:rPr>
          <w:bCs/>
        </w:rPr>
        <w:t>“</w:t>
      </w:r>
      <w:r w:rsidR="008C678A">
        <w:rPr>
          <w:bCs/>
        </w:rPr>
        <w:t>Il</w:t>
      </w:r>
      <w:r w:rsidRPr="002623C5">
        <w:rPr>
          <w:bCs/>
        </w:rPr>
        <w:t xml:space="preserve"> fatturato </w:t>
      </w:r>
      <w:r w:rsidR="003F678A">
        <w:rPr>
          <w:bCs/>
        </w:rPr>
        <w:t>d</w:t>
      </w:r>
      <w:r w:rsidRPr="002623C5">
        <w:rPr>
          <w:bCs/>
        </w:rPr>
        <w:t xml:space="preserve">ei primi nove mesi del 2021 </w:t>
      </w:r>
      <w:r>
        <w:rPr>
          <w:bCs/>
        </w:rPr>
        <w:t xml:space="preserve">– ha commentato </w:t>
      </w:r>
      <w:r w:rsidRPr="00772114">
        <w:rPr>
          <w:b/>
          <w:bCs/>
        </w:rPr>
        <w:t xml:space="preserve">Giovanni </w:t>
      </w:r>
      <w:proofErr w:type="spellStart"/>
      <w:r w:rsidRPr="00772114">
        <w:rPr>
          <w:b/>
          <w:bCs/>
        </w:rPr>
        <w:t>Bort</w:t>
      </w:r>
      <w:proofErr w:type="spellEnd"/>
      <w:r>
        <w:rPr>
          <w:bCs/>
        </w:rPr>
        <w:t>, Presidente della Camera di Commercio di Trento –</w:t>
      </w:r>
      <w:r w:rsidR="008C678A">
        <w:rPr>
          <w:bCs/>
        </w:rPr>
        <w:t xml:space="preserve"> non solo</w:t>
      </w:r>
      <w:r>
        <w:rPr>
          <w:bCs/>
        </w:rPr>
        <w:t xml:space="preserve"> </w:t>
      </w:r>
      <w:r w:rsidR="008C678A">
        <w:rPr>
          <w:bCs/>
        </w:rPr>
        <w:t xml:space="preserve">supera del </w:t>
      </w:r>
      <w:r w:rsidRPr="002623C5">
        <w:rPr>
          <w:bCs/>
        </w:rPr>
        <w:t xml:space="preserve">16,6% </w:t>
      </w:r>
      <w:r w:rsidR="008C678A">
        <w:rPr>
          <w:bCs/>
        </w:rPr>
        <w:t>quello dello</w:t>
      </w:r>
      <w:r w:rsidRPr="002623C5">
        <w:rPr>
          <w:bCs/>
        </w:rPr>
        <w:t xml:space="preserve"> stesso periodo del 2020</w:t>
      </w:r>
      <w:r w:rsidR="00853FDB">
        <w:rPr>
          <w:bCs/>
        </w:rPr>
        <w:t>,</w:t>
      </w:r>
      <w:r w:rsidRPr="002623C5">
        <w:rPr>
          <w:bCs/>
        </w:rPr>
        <w:t xml:space="preserve"> ma</w:t>
      </w:r>
      <w:r w:rsidR="008C678A">
        <w:rPr>
          <w:bCs/>
        </w:rPr>
        <w:t xml:space="preserve"> registra</w:t>
      </w:r>
      <w:r w:rsidRPr="002623C5">
        <w:rPr>
          <w:bCs/>
        </w:rPr>
        <w:t xml:space="preserve"> </w:t>
      </w:r>
      <w:r w:rsidR="00853FDB">
        <w:rPr>
          <w:bCs/>
        </w:rPr>
        <w:t xml:space="preserve">anche </w:t>
      </w:r>
      <w:r w:rsidRPr="002623C5">
        <w:rPr>
          <w:bCs/>
        </w:rPr>
        <w:t>una crescita del +7,2% rispetto al</w:t>
      </w:r>
      <w:r w:rsidR="0000034A">
        <w:rPr>
          <w:bCs/>
        </w:rPr>
        <w:t>l’intervallo</w:t>
      </w:r>
      <w:r w:rsidR="0000034A" w:rsidRPr="002623C5">
        <w:rPr>
          <w:bCs/>
        </w:rPr>
        <w:t xml:space="preserve"> </w:t>
      </w:r>
      <w:r w:rsidR="0000034A">
        <w:rPr>
          <w:bCs/>
        </w:rPr>
        <w:t>gennaio</w:t>
      </w:r>
      <w:r w:rsidRPr="002623C5">
        <w:rPr>
          <w:bCs/>
        </w:rPr>
        <w:t xml:space="preserve">-settembre del 2019, </w:t>
      </w:r>
      <w:r w:rsidR="0000034A">
        <w:rPr>
          <w:bCs/>
        </w:rPr>
        <w:t xml:space="preserve">periodo antecedente la crisi innescata dall’emergenza sanitaria. </w:t>
      </w:r>
      <w:r w:rsidR="00772114">
        <w:rPr>
          <w:bCs/>
        </w:rPr>
        <w:t xml:space="preserve">Si tratta di un risultato che infonde fiducia e che dobbiamo ‘patrimonializzare’ </w:t>
      </w:r>
      <w:r w:rsidR="008C678A">
        <w:rPr>
          <w:bCs/>
        </w:rPr>
        <w:t>per massimizzarne gli effetti</w:t>
      </w:r>
      <w:r w:rsidR="00772114">
        <w:rPr>
          <w:bCs/>
        </w:rPr>
        <w:t xml:space="preserve"> </w:t>
      </w:r>
      <w:r w:rsidR="008C678A">
        <w:rPr>
          <w:bCs/>
        </w:rPr>
        <w:t>a beneficio di una condizione di crescita strutturale</w:t>
      </w:r>
      <w:r w:rsidR="00772114">
        <w:rPr>
          <w:bCs/>
        </w:rPr>
        <w:t xml:space="preserve">. </w:t>
      </w:r>
      <w:r w:rsidR="0000034A">
        <w:rPr>
          <w:bCs/>
        </w:rPr>
        <w:t xml:space="preserve">È </w:t>
      </w:r>
      <w:r w:rsidR="008C7DF3">
        <w:rPr>
          <w:bCs/>
        </w:rPr>
        <w:t>comunque</w:t>
      </w:r>
      <w:r w:rsidR="0000034A">
        <w:rPr>
          <w:bCs/>
        </w:rPr>
        <w:t xml:space="preserve"> necessario non abbassare la guardia</w:t>
      </w:r>
      <w:r w:rsidR="00E00024">
        <w:rPr>
          <w:bCs/>
        </w:rPr>
        <w:t>, confidare nella scienza e</w:t>
      </w:r>
      <w:r w:rsidR="0000034A">
        <w:rPr>
          <w:bCs/>
        </w:rPr>
        <w:t xml:space="preserve"> prendere atto che </w:t>
      </w:r>
      <w:r w:rsidR="00E00024">
        <w:rPr>
          <w:bCs/>
        </w:rPr>
        <w:t xml:space="preserve">anche la ripresa economica </w:t>
      </w:r>
      <w:r w:rsidR="008C678A">
        <w:rPr>
          <w:bCs/>
        </w:rPr>
        <w:t>passa da</w:t>
      </w:r>
      <w:r w:rsidR="00E00024">
        <w:rPr>
          <w:bCs/>
        </w:rPr>
        <w:t xml:space="preserve"> un</w:t>
      </w:r>
      <w:r w:rsidR="00853FDB">
        <w:rPr>
          <w:bCs/>
        </w:rPr>
        <w:t>’adesione</w:t>
      </w:r>
      <w:r w:rsidR="008C678A">
        <w:rPr>
          <w:bCs/>
        </w:rPr>
        <w:t xml:space="preserve"> </w:t>
      </w:r>
      <w:r w:rsidR="0000034A">
        <w:rPr>
          <w:bCs/>
        </w:rPr>
        <w:t xml:space="preserve">diffusa e consapevole </w:t>
      </w:r>
      <w:r w:rsidR="00853FDB">
        <w:rPr>
          <w:bCs/>
        </w:rPr>
        <w:t>a</w:t>
      </w:r>
      <w:r w:rsidR="008C678A">
        <w:rPr>
          <w:bCs/>
        </w:rPr>
        <w:t>l</w:t>
      </w:r>
      <w:r w:rsidR="00772114">
        <w:rPr>
          <w:bCs/>
        </w:rPr>
        <w:t>la campagna vaccinale”.</w:t>
      </w:r>
    </w:p>
    <w:p w:rsidR="002623C5" w:rsidRDefault="002623C5" w:rsidP="00FA65C8">
      <w:pPr>
        <w:ind w:left="1276"/>
        <w:rPr>
          <w:bCs/>
        </w:rPr>
      </w:pPr>
    </w:p>
    <w:p w:rsidR="00FA65C8" w:rsidRPr="00FA65C8" w:rsidRDefault="00FA65C8" w:rsidP="00FA65C8">
      <w:pPr>
        <w:ind w:left="1276"/>
        <w:rPr>
          <w:bCs/>
        </w:rPr>
      </w:pPr>
      <w:r w:rsidRPr="003C061C">
        <w:rPr>
          <w:bCs/>
        </w:rPr>
        <w:t xml:space="preserve">La pubblicazione integrale </w:t>
      </w:r>
      <w:r w:rsidR="00B01FA7" w:rsidRPr="00A2726C">
        <w:rPr>
          <w:bCs/>
        </w:rPr>
        <w:t>“</w:t>
      </w:r>
      <w:hyperlink r:id="rId8" w:tgtFrame="_blank" w:history="1">
        <w:r w:rsidR="000F66E9">
          <w:rPr>
            <w:rStyle w:val="Collegamentoipertestuale"/>
            <w:bCs/>
          </w:rPr>
          <w:t>La congiuntura in provincia di Trento e gli effetti dell’emergenza Covid-19</w:t>
        </w:r>
      </w:hyperlink>
      <w:r w:rsidR="000F66E9">
        <w:rPr>
          <w:bCs/>
        </w:rPr>
        <w:t>”</w:t>
      </w:r>
      <w:r w:rsidRPr="003C061C">
        <w:rPr>
          <w:bCs/>
        </w:rPr>
        <w:t>e le</w:t>
      </w:r>
      <w:r w:rsidR="000F66E9">
        <w:rPr>
          <w:bCs/>
        </w:rPr>
        <w:t xml:space="preserve"> </w:t>
      </w:r>
      <w:bookmarkStart w:id="0" w:name="_GoBack"/>
      <w:r w:rsidR="000F66E9" w:rsidRPr="000F66E9">
        <w:rPr>
          <w:bCs/>
          <w:i/>
        </w:rPr>
        <w:fldChar w:fldCharType="begin"/>
      </w:r>
      <w:r w:rsidR="000F66E9" w:rsidRPr="000F66E9">
        <w:rPr>
          <w:bCs/>
          <w:i/>
        </w:rPr>
        <w:instrText xml:space="preserve"> HYPERLINK "https://www.tn.camcom.it/sites/default/files/uploads/documents/StudiRicerche/congiuntura/SlidesCongiunturaterzotrimestre2021.pdf" \t "_blank" </w:instrText>
      </w:r>
      <w:r w:rsidR="000F66E9" w:rsidRPr="000F66E9">
        <w:rPr>
          <w:bCs/>
          <w:i/>
        </w:rPr>
        <w:fldChar w:fldCharType="separate"/>
      </w:r>
      <w:r w:rsidR="000F66E9" w:rsidRPr="000F66E9">
        <w:rPr>
          <w:rStyle w:val="Collegamentoipertestuale"/>
          <w:bCs/>
          <w:i/>
        </w:rPr>
        <w:t>slide</w:t>
      </w:r>
      <w:r w:rsidR="000F66E9" w:rsidRPr="000F66E9">
        <w:rPr>
          <w:bCs/>
          <w:i/>
        </w:rPr>
        <w:fldChar w:fldCharType="end"/>
      </w:r>
      <w:r w:rsidR="000F66E9">
        <w:t xml:space="preserve"> </w:t>
      </w:r>
      <w:bookmarkEnd w:id="0"/>
      <w:r w:rsidRPr="003C061C">
        <w:rPr>
          <w:bCs/>
        </w:rPr>
        <w:t>sono disponibili sul sito della Camera di Commercio di Trento.</w:t>
      </w:r>
    </w:p>
    <w:p w:rsidR="00BE5EA0" w:rsidRDefault="00BE5EA0" w:rsidP="00514987">
      <w:pPr>
        <w:ind w:left="1276"/>
      </w:pPr>
    </w:p>
    <w:p w:rsidR="00EC7105" w:rsidRPr="00BE5EA0" w:rsidRDefault="00EC7105" w:rsidP="00514987">
      <w:pPr>
        <w:ind w:left="1276"/>
      </w:pPr>
      <w:r w:rsidRPr="00BE5EA0">
        <w:t xml:space="preserve">Trento, </w:t>
      </w:r>
      <w:r w:rsidR="00A2726C">
        <w:t>7 dicembre</w:t>
      </w:r>
      <w:r w:rsidR="00E05087" w:rsidRPr="00BE5EA0">
        <w:t xml:space="preserve"> 2021</w:t>
      </w:r>
    </w:p>
    <w:sectPr w:rsidR="00EC7105" w:rsidRPr="00BE5EA0" w:rsidSect="00DD6DA9">
      <w:footerReference w:type="default" r:id="rId9"/>
      <w:headerReference w:type="first" r:id="rId10"/>
      <w:footerReference w:type="first" r:id="rId11"/>
      <w:pgSz w:w="11906" w:h="16838" w:code="9"/>
      <w:pgMar w:top="2495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4A" w:rsidRDefault="0000034A">
      <w:r>
        <w:separator/>
      </w:r>
    </w:p>
  </w:endnote>
  <w:endnote w:type="continuationSeparator" w:id="0">
    <w:p w:rsidR="0000034A" w:rsidRDefault="0000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4A" w:rsidRPr="007C29A7" w:rsidRDefault="0000034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00034A" w:rsidRPr="00FA7AB5" w:rsidRDefault="0000034A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00034A" w:rsidRPr="003F1A52" w:rsidRDefault="0000034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00034A" w:rsidRDefault="0000034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00034A" w:rsidRDefault="0000034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00034A" w:rsidRPr="003F1A52" w:rsidRDefault="0000034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4A" w:rsidRPr="007C29A7" w:rsidRDefault="0000034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00034A" w:rsidRPr="003F1A52" w:rsidRDefault="0000034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00034A" w:rsidRPr="003F1A52" w:rsidRDefault="0000034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00034A" w:rsidRDefault="0000034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00034A" w:rsidRDefault="0000034A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00034A" w:rsidRPr="003F1A52" w:rsidRDefault="0000034A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4A" w:rsidRDefault="0000034A">
      <w:r>
        <w:separator/>
      </w:r>
    </w:p>
  </w:footnote>
  <w:footnote w:type="continuationSeparator" w:id="0">
    <w:p w:rsidR="0000034A" w:rsidRDefault="0000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4A" w:rsidRDefault="0000034A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13626" cy="962025"/>
          <wp:effectExtent l="0" t="0" r="1270" b="0"/>
          <wp:docPr id="6" name="Immagine 6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34A" w:rsidRDefault="0000034A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75EE9"/>
    <w:multiLevelType w:val="hybridMultilevel"/>
    <w:tmpl w:val="B204E9B6"/>
    <w:lvl w:ilvl="0" w:tplc="5DE6971C">
      <w:numFmt w:val="bullet"/>
      <w:lvlText w:val="-"/>
      <w:lvlJc w:val="left"/>
      <w:pPr>
        <w:ind w:left="162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034A"/>
    <w:rsid w:val="000117E6"/>
    <w:rsid w:val="0001390C"/>
    <w:rsid w:val="0002106F"/>
    <w:rsid w:val="00025707"/>
    <w:rsid w:val="000269CA"/>
    <w:rsid w:val="00031F75"/>
    <w:rsid w:val="00037F6E"/>
    <w:rsid w:val="00040F2B"/>
    <w:rsid w:val="00047BA2"/>
    <w:rsid w:val="000533B8"/>
    <w:rsid w:val="00053E8B"/>
    <w:rsid w:val="00055BF5"/>
    <w:rsid w:val="00056257"/>
    <w:rsid w:val="00067410"/>
    <w:rsid w:val="00067C22"/>
    <w:rsid w:val="00070E64"/>
    <w:rsid w:val="00070E99"/>
    <w:rsid w:val="000719F4"/>
    <w:rsid w:val="00074F6B"/>
    <w:rsid w:val="00076DD3"/>
    <w:rsid w:val="00082DFA"/>
    <w:rsid w:val="00083AA9"/>
    <w:rsid w:val="00084CC0"/>
    <w:rsid w:val="00090110"/>
    <w:rsid w:val="00092D31"/>
    <w:rsid w:val="00093CAD"/>
    <w:rsid w:val="000A03C0"/>
    <w:rsid w:val="000A19DB"/>
    <w:rsid w:val="000A6030"/>
    <w:rsid w:val="000C045B"/>
    <w:rsid w:val="000C5CCC"/>
    <w:rsid w:val="000C6289"/>
    <w:rsid w:val="000C62B5"/>
    <w:rsid w:val="000C7BD4"/>
    <w:rsid w:val="000D3D35"/>
    <w:rsid w:val="000E343F"/>
    <w:rsid w:val="000E58E6"/>
    <w:rsid w:val="000F25A0"/>
    <w:rsid w:val="000F66E9"/>
    <w:rsid w:val="000F7A8F"/>
    <w:rsid w:val="00102F6E"/>
    <w:rsid w:val="00102F75"/>
    <w:rsid w:val="001105D3"/>
    <w:rsid w:val="001167B2"/>
    <w:rsid w:val="001171B3"/>
    <w:rsid w:val="0012213D"/>
    <w:rsid w:val="0012470A"/>
    <w:rsid w:val="00125816"/>
    <w:rsid w:val="0013007A"/>
    <w:rsid w:val="00130283"/>
    <w:rsid w:val="001353A9"/>
    <w:rsid w:val="00141BAD"/>
    <w:rsid w:val="00141EC9"/>
    <w:rsid w:val="0014560D"/>
    <w:rsid w:val="00145706"/>
    <w:rsid w:val="00151592"/>
    <w:rsid w:val="0016196C"/>
    <w:rsid w:val="001636C9"/>
    <w:rsid w:val="00174309"/>
    <w:rsid w:val="00176E40"/>
    <w:rsid w:val="00180C87"/>
    <w:rsid w:val="00180E1E"/>
    <w:rsid w:val="00185207"/>
    <w:rsid w:val="0019703B"/>
    <w:rsid w:val="00197332"/>
    <w:rsid w:val="001A0A6D"/>
    <w:rsid w:val="001B3264"/>
    <w:rsid w:val="001B3A78"/>
    <w:rsid w:val="001C16C7"/>
    <w:rsid w:val="001C3091"/>
    <w:rsid w:val="001C554C"/>
    <w:rsid w:val="001C63B4"/>
    <w:rsid w:val="001C72E4"/>
    <w:rsid w:val="001D0321"/>
    <w:rsid w:val="001D43E8"/>
    <w:rsid w:val="001E24CB"/>
    <w:rsid w:val="001E6740"/>
    <w:rsid w:val="001E69D5"/>
    <w:rsid w:val="001F3C55"/>
    <w:rsid w:val="001F5146"/>
    <w:rsid w:val="001F5EFB"/>
    <w:rsid w:val="001F6307"/>
    <w:rsid w:val="001F7EBB"/>
    <w:rsid w:val="002158D7"/>
    <w:rsid w:val="002161EE"/>
    <w:rsid w:val="0022484B"/>
    <w:rsid w:val="00224CE9"/>
    <w:rsid w:val="002261F5"/>
    <w:rsid w:val="00226A40"/>
    <w:rsid w:val="00227243"/>
    <w:rsid w:val="00230EB5"/>
    <w:rsid w:val="002313A7"/>
    <w:rsid w:val="00232F52"/>
    <w:rsid w:val="00234E4E"/>
    <w:rsid w:val="00241EA4"/>
    <w:rsid w:val="00243031"/>
    <w:rsid w:val="00243791"/>
    <w:rsid w:val="00243B10"/>
    <w:rsid w:val="0025111C"/>
    <w:rsid w:val="00252C17"/>
    <w:rsid w:val="00260696"/>
    <w:rsid w:val="002623C5"/>
    <w:rsid w:val="0026345A"/>
    <w:rsid w:val="00284D7F"/>
    <w:rsid w:val="0028528A"/>
    <w:rsid w:val="00285ECC"/>
    <w:rsid w:val="002861C1"/>
    <w:rsid w:val="002864E3"/>
    <w:rsid w:val="0029245F"/>
    <w:rsid w:val="00292D60"/>
    <w:rsid w:val="002941BD"/>
    <w:rsid w:val="002A107E"/>
    <w:rsid w:val="002A25E1"/>
    <w:rsid w:val="002A406B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51DE"/>
    <w:rsid w:val="002F7403"/>
    <w:rsid w:val="00304F34"/>
    <w:rsid w:val="003228AE"/>
    <w:rsid w:val="00324685"/>
    <w:rsid w:val="00324D13"/>
    <w:rsid w:val="00325D0E"/>
    <w:rsid w:val="0032681E"/>
    <w:rsid w:val="00327AD2"/>
    <w:rsid w:val="0033526B"/>
    <w:rsid w:val="00336C91"/>
    <w:rsid w:val="003437C8"/>
    <w:rsid w:val="00344EA8"/>
    <w:rsid w:val="00350754"/>
    <w:rsid w:val="00351708"/>
    <w:rsid w:val="003577AC"/>
    <w:rsid w:val="00370E47"/>
    <w:rsid w:val="00370FF1"/>
    <w:rsid w:val="0037134B"/>
    <w:rsid w:val="00372FA8"/>
    <w:rsid w:val="00373DAC"/>
    <w:rsid w:val="0037549D"/>
    <w:rsid w:val="003769FB"/>
    <w:rsid w:val="00383F68"/>
    <w:rsid w:val="00394A40"/>
    <w:rsid w:val="00397376"/>
    <w:rsid w:val="003A1192"/>
    <w:rsid w:val="003A3BE2"/>
    <w:rsid w:val="003B05AA"/>
    <w:rsid w:val="003B0E44"/>
    <w:rsid w:val="003B137E"/>
    <w:rsid w:val="003B1DE1"/>
    <w:rsid w:val="003B76B5"/>
    <w:rsid w:val="003C061C"/>
    <w:rsid w:val="003C099A"/>
    <w:rsid w:val="003C2802"/>
    <w:rsid w:val="003C2D4A"/>
    <w:rsid w:val="003C3247"/>
    <w:rsid w:val="003D086B"/>
    <w:rsid w:val="003D2C05"/>
    <w:rsid w:val="003D33BB"/>
    <w:rsid w:val="003D6094"/>
    <w:rsid w:val="003E4096"/>
    <w:rsid w:val="003F19BF"/>
    <w:rsid w:val="003F1A52"/>
    <w:rsid w:val="003F678A"/>
    <w:rsid w:val="00402E8F"/>
    <w:rsid w:val="004033CB"/>
    <w:rsid w:val="0041106F"/>
    <w:rsid w:val="0041443C"/>
    <w:rsid w:val="00415BCC"/>
    <w:rsid w:val="004254A4"/>
    <w:rsid w:val="00425E36"/>
    <w:rsid w:val="00426156"/>
    <w:rsid w:val="00426993"/>
    <w:rsid w:val="00427A25"/>
    <w:rsid w:val="00430007"/>
    <w:rsid w:val="00430AD9"/>
    <w:rsid w:val="00434A23"/>
    <w:rsid w:val="00437921"/>
    <w:rsid w:val="00451636"/>
    <w:rsid w:val="00454637"/>
    <w:rsid w:val="00455D46"/>
    <w:rsid w:val="004578F8"/>
    <w:rsid w:val="0046069E"/>
    <w:rsid w:val="0047629E"/>
    <w:rsid w:val="00477EA5"/>
    <w:rsid w:val="00477F6C"/>
    <w:rsid w:val="0048015B"/>
    <w:rsid w:val="00481525"/>
    <w:rsid w:val="004816A1"/>
    <w:rsid w:val="00487BBC"/>
    <w:rsid w:val="00492BC7"/>
    <w:rsid w:val="00493748"/>
    <w:rsid w:val="0049490B"/>
    <w:rsid w:val="004A1CAA"/>
    <w:rsid w:val="004A6C6F"/>
    <w:rsid w:val="004B1730"/>
    <w:rsid w:val="004B1D64"/>
    <w:rsid w:val="004B538C"/>
    <w:rsid w:val="004C3082"/>
    <w:rsid w:val="004C3F85"/>
    <w:rsid w:val="004C6169"/>
    <w:rsid w:val="004D023C"/>
    <w:rsid w:val="004D1CC9"/>
    <w:rsid w:val="004D1EB8"/>
    <w:rsid w:val="004D2719"/>
    <w:rsid w:val="004D3175"/>
    <w:rsid w:val="004D3B61"/>
    <w:rsid w:val="004D4D4E"/>
    <w:rsid w:val="004E034B"/>
    <w:rsid w:val="004E0B10"/>
    <w:rsid w:val="004E254E"/>
    <w:rsid w:val="004E2F72"/>
    <w:rsid w:val="004E58E8"/>
    <w:rsid w:val="004F1E76"/>
    <w:rsid w:val="004F4027"/>
    <w:rsid w:val="004F5039"/>
    <w:rsid w:val="004F6EE2"/>
    <w:rsid w:val="0050050A"/>
    <w:rsid w:val="00500D85"/>
    <w:rsid w:val="00505E25"/>
    <w:rsid w:val="00507DCB"/>
    <w:rsid w:val="0051003E"/>
    <w:rsid w:val="005122C8"/>
    <w:rsid w:val="00514987"/>
    <w:rsid w:val="00526273"/>
    <w:rsid w:val="00527C89"/>
    <w:rsid w:val="005310BB"/>
    <w:rsid w:val="00531390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87F2D"/>
    <w:rsid w:val="00590560"/>
    <w:rsid w:val="00593CA2"/>
    <w:rsid w:val="005954E9"/>
    <w:rsid w:val="00597EFC"/>
    <w:rsid w:val="005A0D10"/>
    <w:rsid w:val="005A4386"/>
    <w:rsid w:val="005A4610"/>
    <w:rsid w:val="005A5575"/>
    <w:rsid w:val="005C0EE9"/>
    <w:rsid w:val="005D12E0"/>
    <w:rsid w:val="005D245C"/>
    <w:rsid w:val="005D3682"/>
    <w:rsid w:val="005D38FC"/>
    <w:rsid w:val="005D5592"/>
    <w:rsid w:val="005E0D91"/>
    <w:rsid w:val="005E5E60"/>
    <w:rsid w:val="005E610A"/>
    <w:rsid w:val="005F0B48"/>
    <w:rsid w:val="005F1E36"/>
    <w:rsid w:val="005F596D"/>
    <w:rsid w:val="005F5A03"/>
    <w:rsid w:val="005F6F74"/>
    <w:rsid w:val="005F7777"/>
    <w:rsid w:val="00600A6D"/>
    <w:rsid w:val="00603F83"/>
    <w:rsid w:val="00604DEF"/>
    <w:rsid w:val="006076C2"/>
    <w:rsid w:val="006112AA"/>
    <w:rsid w:val="00611D55"/>
    <w:rsid w:val="00612742"/>
    <w:rsid w:val="006136DF"/>
    <w:rsid w:val="00616C21"/>
    <w:rsid w:val="006229B7"/>
    <w:rsid w:val="00623CE0"/>
    <w:rsid w:val="006241FF"/>
    <w:rsid w:val="00624F85"/>
    <w:rsid w:val="00633976"/>
    <w:rsid w:val="00634532"/>
    <w:rsid w:val="006425AC"/>
    <w:rsid w:val="00643E51"/>
    <w:rsid w:val="00644F94"/>
    <w:rsid w:val="00645317"/>
    <w:rsid w:val="00650648"/>
    <w:rsid w:val="006627F1"/>
    <w:rsid w:val="00662DC3"/>
    <w:rsid w:val="006634F2"/>
    <w:rsid w:val="00663AD2"/>
    <w:rsid w:val="00663CFB"/>
    <w:rsid w:val="00667AD2"/>
    <w:rsid w:val="00672815"/>
    <w:rsid w:val="00672E04"/>
    <w:rsid w:val="00676446"/>
    <w:rsid w:val="00676BE4"/>
    <w:rsid w:val="00682800"/>
    <w:rsid w:val="00683B59"/>
    <w:rsid w:val="00683B8B"/>
    <w:rsid w:val="006841D1"/>
    <w:rsid w:val="00684C4A"/>
    <w:rsid w:val="00685B2C"/>
    <w:rsid w:val="00690AFA"/>
    <w:rsid w:val="00691228"/>
    <w:rsid w:val="006923FA"/>
    <w:rsid w:val="0069601E"/>
    <w:rsid w:val="006A0AC7"/>
    <w:rsid w:val="006A29A6"/>
    <w:rsid w:val="006A363D"/>
    <w:rsid w:val="006A36D1"/>
    <w:rsid w:val="006A4667"/>
    <w:rsid w:val="006A5306"/>
    <w:rsid w:val="006A74E4"/>
    <w:rsid w:val="006B1685"/>
    <w:rsid w:val="006B1D4D"/>
    <w:rsid w:val="006B2B85"/>
    <w:rsid w:val="006B6052"/>
    <w:rsid w:val="006C05DB"/>
    <w:rsid w:val="006C07FD"/>
    <w:rsid w:val="006C11C0"/>
    <w:rsid w:val="006C6B48"/>
    <w:rsid w:val="006D65B1"/>
    <w:rsid w:val="006E762F"/>
    <w:rsid w:val="006F0AFA"/>
    <w:rsid w:val="006F0BB4"/>
    <w:rsid w:val="006F3058"/>
    <w:rsid w:val="007009C2"/>
    <w:rsid w:val="00710CA5"/>
    <w:rsid w:val="0071360F"/>
    <w:rsid w:val="00715B49"/>
    <w:rsid w:val="00716DCD"/>
    <w:rsid w:val="00716F4F"/>
    <w:rsid w:val="00717EA9"/>
    <w:rsid w:val="007213A0"/>
    <w:rsid w:val="0072450D"/>
    <w:rsid w:val="00724D64"/>
    <w:rsid w:val="007269BF"/>
    <w:rsid w:val="00727366"/>
    <w:rsid w:val="007317B0"/>
    <w:rsid w:val="00736179"/>
    <w:rsid w:val="00742C40"/>
    <w:rsid w:val="00744AB0"/>
    <w:rsid w:val="007514D5"/>
    <w:rsid w:val="00755C36"/>
    <w:rsid w:val="00764265"/>
    <w:rsid w:val="007650C1"/>
    <w:rsid w:val="00772114"/>
    <w:rsid w:val="00773A2A"/>
    <w:rsid w:val="0077654C"/>
    <w:rsid w:val="00780778"/>
    <w:rsid w:val="0078210A"/>
    <w:rsid w:val="007826B1"/>
    <w:rsid w:val="007858AD"/>
    <w:rsid w:val="00790A38"/>
    <w:rsid w:val="0079139D"/>
    <w:rsid w:val="00791B5C"/>
    <w:rsid w:val="00796309"/>
    <w:rsid w:val="007968B7"/>
    <w:rsid w:val="007A59B3"/>
    <w:rsid w:val="007B12EB"/>
    <w:rsid w:val="007B2F2F"/>
    <w:rsid w:val="007B44B1"/>
    <w:rsid w:val="007B4E9C"/>
    <w:rsid w:val="007C003F"/>
    <w:rsid w:val="007C17C9"/>
    <w:rsid w:val="007C29A7"/>
    <w:rsid w:val="007C3899"/>
    <w:rsid w:val="007C674E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507D"/>
    <w:rsid w:val="008076F3"/>
    <w:rsid w:val="00813390"/>
    <w:rsid w:val="00815F1C"/>
    <w:rsid w:val="00846019"/>
    <w:rsid w:val="00851A94"/>
    <w:rsid w:val="0085202F"/>
    <w:rsid w:val="00853FDB"/>
    <w:rsid w:val="00865D73"/>
    <w:rsid w:val="00866107"/>
    <w:rsid w:val="00870052"/>
    <w:rsid w:val="00870DBC"/>
    <w:rsid w:val="0087420A"/>
    <w:rsid w:val="00875F96"/>
    <w:rsid w:val="008807F7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B2F0C"/>
    <w:rsid w:val="008B335E"/>
    <w:rsid w:val="008B4158"/>
    <w:rsid w:val="008B7598"/>
    <w:rsid w:val="008C678A"/>
    <w:rsid w:val="008C7DF3"/>
    <w:rsid w:val="008D0DCA"/>
    <w:rsid w:val="008D4F84"/>
    <w:rsid w:val="008D5AE3"/>
    <w:rsid w:val="008E034D"/>
    <w:rsid w:val="008E2962"/>
    <w:rsid w:val="008E5E49"/>
    <w:rsid w:val="008F1C9A"/>
    <w:rsid w:val="008F39AA"/>
    <w:rsid w:val="008F469B"/>
    <w:rsid w:val="008F477C"/>
    <w:rsid w:val="008F6C89"/>
    <w:rsid w:val="0090380A"/>
    <w:rsid w:val="00917B87"/>
    <w:rsid w:val="009247FD"/>
    <w:rsid w:val="00941858"/>
    <w:rsid w:val="009438B2"/>
    <w:rsid w:val="00950B25"/>
    <w:rsid w:val="00953231"/>
    <w:rsid w:val="00954CD5"/>
    <w:rsid w:val="00956508"/>
    <w:rsid w:val="00956F2E"/>
    <w:rsid w:val="0096513C"/>
    <w:rsid w:val="00972C7D"/>
    <w:rsid w:val="00973857"/>
    <w:rsid w:val="00973FFF"/>
    <w:rsid w:val="00982D23"/>
    <w:rsid w:val="00985B03"/>
    <w:rsid w:val="00991071"/>
    <w:rsid w:val="009944D6"/>
    <w:rsid w:val="00994BBB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D91"/>
    <w:rsid w:val="009D1F52"/>
    <w:rsid w:val="009D26FB"/>
    <w:rsid w:val="009E44D3"/>
    <w:rsid w:val="009E4FE1"/>
    <w:rsid w:val="009E7C63"/>
    <w:rsid w:val="009F0770"/>
    <w:rsid w:val="009F528E"/>
    <w:rsid w:val="009F7977"/>
    <w:rsid w:val="00A04BEB"/>
    <w:rsid w:val="00A0576D"/>
    <w:rsid w:val="00A1697D"/>
    <w:rsid w:val="00A220FE"/>
    <w:rsid w:val="00A264B6"/>
    <w:rsid w:val="00A2726C"/>
    <w:rsid w:val="00A30EF2"/>
    <w:rsid w:val="00A312D6"/>
    <w:rsid w:val="00A3562F"/>
    <w:rsid w:val="00A41DFC"/>
    <w:rsid w:val="00A44B18"/>
    <w:rsid w:val="00A534B4"/>
    <w:rsid w:val="00A541E5"/>
    <w:rsid w:val="00A554FE"/>
    <w:rsid w:val="00A61A3F"/>
    <w:rsid w:val="00A63966"/>
    <w:rsid w:val="00A656FF"/>
    <w:rsid w:val="00A65C76"/>
    <w:rsid w:val="00A65EF4"/>
    <w:rsid w:val="00A72F6F"/>
    <w:rsid w:val="00A74307"/>
    <w:rsid w:val="00A77C5B"/>
    <w:rsid w:val="00A8653C"/>
    <w:rsid w:val="00A86FE5"/>
    <w:rsid w:val="00A87923"/>
    <w:rsid w:val="00A87E2A"/>
    <w:rsid w:val="00A9320D"/>
    <w:rsid w:val="00A942F4"/>
    <w:rsid w:val="00AA3238"/>
    <w:rsid w:val="00AA43FC"/>
    <w:rsid w:val="00AA5A6C"/>
    <w:rsid w:val="00AA6F6E"/>
    <w:rsid w:val="00AA7309"/>
    <w:rsid w:val="00AB0635"/>
    <w:rsid w:val="00AB2FBA"/>
    <w:rsid w:val="00AB3E2D"/>
    <w:rsid w:val="00AB55AB"/>
    <w:rsid w:val="00AB74BE"/>
    <w:rsid w:val="00AC1297"/>
    <w:rsid w:val="00AC5B36"/>
    <w:rsid w:val="00AC5EC9"/>
    <w:rsid w:val="00AF14E0"/>
    <w:rsid w:val="00AF44C0"/>
    <w:rsid w:val="00AF5B69"/>
    <w:rsid w:val="00AF5FC0"/>
    <w:rsid w:val="00B0019C"/>
    <w:rsid w:val="00B00E52"/>
    <w:rsid w:val="00B00F71"/>
    <w:rsid w:val="00B01989"/>
    <w:rsid w:val="00B01FA7"/>
    <w:rsid w:val="00B02800"/>
    <w:rsid w:val="00B109EB"/>
    <w:rsid w:val="00B12D2D"/>
    <w:rsid w:val="00B20430"/>
    <w:rsid w:val="00B21C50"/>
    <w:rsid w:val="00B2350A"/>
    <w:rsid w:val="00B26BCE"/>
    <w:rsid w:val="00B33D60"/>
    <w:rsid w:val="00B367B3"/>
    <w:rsid w:val="00B42723"/>
    <w:rsid w:val="00B42DC2"/>
    <w:rsid w:val="00B52C3B"/>
    <w:rsid w:val="00B54A7D"/>
    <w:rsid w:val="00B61E82"/>
    <w:rsid w:val="00B63685"/>
    <w:rsid w:val="00B676F9"/>
    <w:rsid w:val="00B70B30"/>
    <w:rsid w:val="00B77634"/>
    <w:rsid w:val="00B804B7"/>
    <w:rsid w:val="00B80D56"/>
    <w:rsid w:val="00B86F38"/>
    <w:rsid w:val="00B92024"/>
    <w:rsid w:val="00B934F4"/>
    <w:rsid w:val="00B95556"/>
    <w:rsid w:val="00BA1BF3"/>
    <w:rsid w:val="00BA352D"/>
    <w:rsid w:val="00BA6205"/>
    <w:rsid w:val="00BA74B1"/>
    <w:rsid w:val="00BB3508"/>
    <w:rsid w:val="00BB62C1"/>
    <w:rsid w:val="00BC0842"/>
    <w:rsid w:val="00BC6A26"/>
    <w:rsid w:val="00BD0A3E"/>
    <w:rsid w:val="00BD3D8E"/>
    <w:rsid w:val="00BE5E61"/>
    <w:rsid w:val="00BE5EA0"/>
    <w:rsid w:val="00BE62A3"/>
    <w:rsid w:val="00BE681D"/>
    <w:rsid w:val="00BF22C0"/>
    <w:rsid w:val="00BF78E1"/>
    <w:rsid w:val="00C107A7"/>
    <w:rsid w:val="00C132B9"/>
    <w:rsid w:val="00C14D9F"/>
    <w:rsid w:val="00C158DC"/>
    <w:rsid w:val="00C20EAC"/>
    <w:rsid w:val="00C22FAA"/>
    <w:rsid w:val="00C232EE"/>
    <w:rsid w:val="00C26A9D"/>
    <w:rsid w:val="00C2772B"/>
    <w:rsid w:val="00C3028E"/>
    <w:rsid w:val="00C355F2"/>
    <w:rsid w:val="00C356C5"/>
    <w:rsid w:val="00C35B35"/>
    <w:rsid w:val="00C36E52"/>
    <w:rsid w:val="00C36F38"/>
    <w:rsid w:val="00C36F53"/>
    <w:rsid w:val="00C37281"/>
    <w:rsid w:val="00C424F4"/>
    <w:rsid w:val="00C44688"/>
    <w:rsid w:val="00C44934"/>
    <w:rsid w:val="00C52405"/>
    <w:rsid w:val="00C52E65"/>
    <w:rsid w:val="00C53570"/>
    <w:rsid w:val="00C639A9"/>
    <w:rsid w:val="00C63D97"/>
    <w:rsid w:val="00C64F33"/>
    <w:rsid w:val="00C65382"/>
    <w:rsid w:val="00C66621"/>
    <w:rsid w:val="00C70D20"/>
    <w:rsid w:val="00C71C76"/>
    <w:rsid w:val="00C73A9A"/>
    <w:rsid w:val="00C73BAF"/>
    <w:rsid w:val="00C75AD9"/>
    <w:rsid w:val="00C83AE8"/>
    <w:rsid w:val="00C84CAD"/>
    <w:rsid w:val="00C859C9"/>
    <w:rsid w:val="00C8738A"/>
    <w:rsid w:val="00C9328D"/>
    <w:rsid w:val="00C94236"/>
    <w:rsid w:val="00C94CBC"/>
    <w:rsid w:val="00CA3FCC"/>
    <w:rsid w:val="00CA4208"/>
    <w:rsid w:val="00CB2B24"/>
    <w:rsid w:val="00CB3D7F"/>
    <w:rsid w:val="00CB3F53"/>
    <w:rsid w:val="00CB7E8F"/>
    <w:rsid w:val="00CC12F4"/>
    <w:rsid w:val="00CC5765"/>
    <w:rsid w:val="00CD6045"/>
    <w:rsid w:val="00CD62E8"/>
    <w:rsid w:val="00CE369E"/>
    <w:rsid w:val="00CE4EE3"/>
    <w:rsid w:val="00CE7F6D"/>
    <w:rsid w:val="00CF070B"/>
    <w:rsid w:val="00CF33F3"/>
    <w:rsid w:val="00CF6A49"/>
    <w:rsid w:val="00CF7880"/>
    <w:rsid w:val="00D0064E"/>
    <w:rsid w:val="00D12239"/>
    <w:rsid w:val="00D23CF7"/>
    <w:rsid w:val="00D2450B"/>
    <w:rsid w:val="00D33C6F"/>
    <w:rsid w:val="00D34E84"/>
    <w:rsid w:val="00D4018E"/>
    <w:rsid w:val="00D43AA5"/>
    <w:rsid w:val="00D46190"/>
    <w:rsid w:val="00D50C79"/>
    <w:rsid w:val="00D53191"/>
    <w:rsid w:val="00D5352B"/>
    <w:rsid w:val="00D538B5"/>
    <w:rsid w:val="00D545DF"/>
    <w:rsid w:val="00D5621C"/>
    <w:rsid w:val="00D628B0"/>
    <w:rsid w:val="00D62AD2"/>
    <w:rsid w:val="00D6311F"/>
    <w:rsid w:val="00D63472"/>
    <w:rsid w:val="00D66CF5"/>
    <w:rsid w:val="00D70592"/>
    <w:rsid w:val="00D71011"/>
    <w:rsid w:val="00D71331"/>
    <w:rsid w:val="00D72232"/>
    <w:rsid w:val="00D72C15"/>
    <w:rsid w:val="00D731EC"/>
    <w:rsid w:val="00D74466"/>
    <w:rsid w:val="00D76A2E"/>
    <w:rsid w:val="00D775F6"/>
    <w:rsid w:val="00D84041"/>
    <w:rsid w:val="00D86280"/>
    <w:rsid w:val="00D87537"/>
    <w:rsid w:val="00D92FCA"/>
    <w:rsid w:val="00D97597"/>
    <w:rsid w:val="00DA60CB"/>
    <w:rsid w:val="00DA764C"/>
    <w:rsid w:val="00DB07D6"/>
    <w:rsid w:val="00DB42E0"/>
    <w:rsid w:val="00DB575E"/>
    <w:rsid w:val="00DC0A45"/>
    <w:rsid w:val="00DC2AD2"/>
    <w:rsid w:val="00DC52BC"/>
    <w:rsid w:val="00DC78BD"/>
    <w:rsid w:val="00DD01CB"/>
    <w:rsid w:val="00DD1EAE"/>
    <w:rsid w:val="00DD26E5"/>
    <w:rsid w:val="00DD3041"/>
    <w:rsid w:val="00DD5B5E"/>
    <w:rsid w:val="00DD6DA9"/>
    <w:rsid w:val="00DD7846"/>
    <w:rsid w:val="00DD7AF2"/>
    <w:rsid w:val="00DE005D"/>
    <w:rsid w:val="00DE08A8"/>
    <w:rsid w:val="00DE42C4"/>
    <w:rsid w:val="00DE5740"/>
    <w:rsid w:val="00DF04E0"/>
    <w:rsid w:val="00DF4DAD"/>
    <w:rsid w:val="00E00024"/>
    <w:rsid w:val="00E00775"/>
    <w:rsid w:val="00E01F13"/>
    <w:rsid w:val="00E05087"/>
    <w:rsid w:val="00E07F25"/>
    <w:rsid w:val="00E1033B"/>
    <w:rsid w:val="00E12D6F"/>
    <w:rsid w:val="00E12F6E"/>
    <w:rsid w:val="00E141C0"/>
    <w:rsid w:val="00E1589C"/>
    <w:rsid w:val="00E1729C"/>
    <w:rsid w:val="00E25FC8"/>
    <w:rsid w:val="00E3127E"/>
    <w:rsid w:val="00E3208C"/>
    <w:rsid w:val="00E34017"/>
    <w:rsid w:val="00E3543D"/>
    <w:rsid w:val="00E42D71"/>
    <w:rsid w:val="00E46403"/>
    <w:rsid w:val="00E52978"/>
    <w:rsid w:val="00E62078"/>
    <w:rsid w:val="00E661BF"/>
    <w:rsid w:val="00E72124"/>
    <w:rsid w:val="00E826A6"/>
    <w:rsid w:val="00E82F1A"/>
    <w:rsid w:val="00E877EE"/>
    <w:rsid w:val="00E87CAA"/>
    <w:rsid w:val="00E91433"/>
    <w:rsid w:val="00E921B2"/>
    <w:rsid w:val="00E95494"/>
    <w:rsid w:val="00E95D97"/>
    <w:rsid w:val="00E9771B"/>
    <w:rsid w:val="00EB129C"/>
    <w:rsid w:val="00EC0874"/>
    <w:rsid w:val="00EC2264"/>
    <w:rsid w:val="00EC3FD9"/>
    <w:rsid w:val="00EC5D4C"/>
    <w:rsid w:val="00EC7105"/>
    <w:rsid w:val="00ED0CBF"/>
    <w:rsid w:val="00ED5723"/>
    <w:rsid w:val="00ED6651"/>
    <w:rsid w:val="00EE1260"/>
    <w:rsid w:val="00EE20FA"/>
    <w:rsid w:val="00EE3B85"/>
    <w:rsid w:val="00EE758A"/>
    <w:rsid w:val="00EF2295"/>
    <w:rsid w:val="00EF3406"/>
    <w:rsid w:val="00EF6ECF"/>
    <w:rsid w:val="00EF775C"/>
    <w:rsid w:val="00F05380"/>
    <w:rsid w:val="00F06568"/>
    <w:rsid w:val="00F130B8"/>
    <w:rsid w:val="00F138BF"/>
    <w:rsid w:val="00F20486"/>
    <w:rsid w:val="00F208D4"/>
    <w:rsid w:val="00F2186E"/>
    <w:rsid w:val="00F2659C"/>
    <w:rsid w:val="00F34D85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05CA"/>
    <w:rsid w:val="00F91D2E"/>
    <w:rsid w:val="00F928EC"/>
    <w:rsid w:val="00F970A1"/>
    <w:rsid w:val="00FA65C8"/>
    <w:rsid w:val="00FA7761"/>
    <w:rsid w:val="00FA7AB5"/>
    <w:rsid w:val="00FB31E5"/>
    <w:rsid w:val="00FB3777"/>
    <w:rsid w:val="00FC03C3"/>
    <w:rsid w:val="00FC0D99"/>
    <w:rsid w:val="00FC3CB4"/>
    <w:rsid w:val="00FC552F"/>
    <w:rsid w:val="00FC5CB0"/>
    <w:rsid w:val="00FD7F07"/>
    <w:rsid w:val="00FE2B6B"/>
    <w:rsid w:val="00FF5848"/>
    <w:rsid w:val="00FF6378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3CAA45B3"/>
  <w15:docId w15:val="{7319C22E-8AF9-4A31-83BB-67706AB1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camcom.it/sites/default/files/uploads/documents/StudiRicerche/congiuntura/Bollettinoterzotrimestre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7143-A159-4417-8A41-4C39AA09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521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4060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16</cp:revision>
  <cp:lastPrinted>2021-12-07T10:19:00Z</cp:lastPrinted>
  <dcterms:created xsi:type="dcterms:W3CDTF">2021-12-06T09:26:00Z</dcterms:created>
  <dcterms:modified xsi:type="dcterms:W3CDTF">2021-12-07T10:48:00Z</dcterms:modified>
</cp:coreProperties>
</file>